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before="65" w:beforeLines="20" w:after="65" w:afterLines="20" w:line="360" w:lineRule="auto"/>
        <w:jc w:val="center"/>
        <w:rPr>
          <w:rFonts w:hint="eastAsia" w:ascii="宋体" w:hAnsi="宋体" w:eastAsia="宋体" w:cs="宋体"/>
          <w:b/>
          <w:bCs/>
          <w:color w:val="auto"/>
          <w:sz w:val="48"/>
          <w:szCs w:val="48"/>
          <w:highlight w:val="none"/>
        </w:rPr>
      </w:pPr>
    </w:p>
    <w:p>
      <w:pPr>
        <w:adjustRightInd w:val="0"/>
        <w:spacing w:before="65" w:beforeLines="20" w:after="65" w:afterLines="20" w:line="360" w:lineRule="auto"/>
        <w:jc w:val="center"/>
        <w:rPr>
          <w:rFonts w:hint="eastAsia" w:ascii="宋体" w:hAnsi="宋体" w:eastAsia="宋体" w:cs="宋体"/>
          <w:b/>
          <w:bCs/>
          <w:color w:val="auto"/>
          <w:sz w:val="48"/>
          <w:szCs w:val="48"/>
          <w:highlight w:val="none"/>
          <w:lang w:eastAsia="zh-CN"/>
        </w:rPr>
      </w:pPr>
      <w:r>
        <w:rPr>
          <w:rFonts w:hint="eastAsia" w:cs="宋体"/>
          <w:b/>
          <w:bCs/>
          <w:color w:val="auto"/>
          <w:sz w:val="48"/>
          <w:szCs w:val="48"/>
          <w:highlight w:val="none"/>
          <w:lang w:eastAsia="zh-CN"/>
        </w:rPr>
        <w:t>枞阳县人民医院外科综合大楼电梯采购与安装</w:t>
      </w:r>
    </w:p>
    <w:p>
      <w:pPr>
        <w:adjustRightInd w:val="0"/>
        <w:spacing w:before="65" w:beforeLines="20" w:after="65" w:afterLines="20" w:line="360" w:lineRule="auto"/>
        <w:jc w:val="center"/>
        <w:rPr>
          <w:rFonts w:hint="eastAsia" w:ascii="宋体" w:hAnsi="宋体" w:eastAsia="宋体" w:cs="宋体"/>
          <w:b/>
          <w:bCs/>
          <w:color w:val="auto"/>
          <w:sz w:val="36"/>
          <w:szCs w:val="36"/>
          <w:highlight w:val="none"/>
        </w:rPr>
      </w:pPr>
    </w:p>
    <w:p>
      <w:pPr>
        <w:adjustRightInd w:val="0"/>
        <w:spacing w:before="652" w:beforeLines="200" w:after="65" w:afterLines="20" w:line="360" w:lineRule="auto"/>
        <w:jc w:val="center"/>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rPr>
        <w:t>招 标 文 件</w:t>
      </w:r>
    </w:p>
    <w:p>
      <w:pPr>
        <w:adjustRightInd w:val="0"/>
        <w:spacing w:before="65" w:beforeLines="20" w:after="65" w:afterLines="20" w:line="360" w:lineRule="auto"/>
        <w:rPr>
          <w:rFonts w:hint="eastAsia" w:ascii="宋体" w:hAnsi="宋体" w:eastAsia="宋体" w:cs="宋体"/>
          <w:bCs/>
          <w:color w:val="auto"/>
          <w:sz w:val="28"/>
          <w:highlight w:val="none"/>
        </w:rPr>
      </w:pPr>
      <w:r>
        <w:rPr>
          <w:rFonts w:hint="eastAsia" w:ascii="宋体" w:hAnsi="宋体" w:eastAsia="宋体" w:cs="宋体"/>
          <w:bCs/>
          <w:color w:val="auto"/>
          <w:sz w:val="28"/>
          <w:highlight w:val="none"/>
        </w:rPr>
        <w:t xml:space="preserve">                    </w:t>
      </w:r>
    </w:p>
    <w:p>
      <w:pPr>
        <w:widowControl/>
        <w:spacing w:line="360" w:lineRule="auto"/>
        <w:jc w:val="center"/>
        <w:rPr>
          <w:rFonts w:hint="eastAsia" w:ascii="宋体" w:hAnsi="宋体" w:eastAsia="宋体" w:cs="宋体"/>
          <w:bCs/>
          <w:color w:val="auto"/>
          <w:sz w:val="30"/>
          <w:szCs w:val="30"/>
          <w:highlight w:val="none"/>
          <w:lang w:val="en-US" w:eastAsia="zh-CN"/>
        </w:rPr>
      </w:pPr>
      <w:r>
        <w:rPr>
          <w:rFonts w:hint="eastAsia" w:ascii="宋体" w:hAnsi="宋体" w:eastAsia="宋体" w:cs="宋体"/>
          <w:bCs/>
          <w:color w:val="auto"/>
          <w:sz w:val="30"/>
          <w:szCs w:val="30"/>
          <w:highlight w:val="none"/>
        </w:rPr>
        <w:t>招标编号：</w:t>
      </w:r>
      <w:r>
        <w:rPr>
          <w:rFonts w:hint="eastAsia" w:ascii="宋体" w:hAnsi="宋体" w:eastAsia="宋体" w:cs="宋体"/>
          <w:bCs/>
          <w:color w:val="auto"/>
          <w:sz w:val="30"/>
          <w:szCs w:val="30"/>
          <w:highlight w:val="none"/>
          <w:lang w:val="en-US" w:eastAsia="zh-CN"/>
        </w:rPr>
        <w:t xml:space="preserve"> </w:t>
      </w:r>
      <w:r>
        <w:rPr>
          <w:rFonts w:hint="eastAsia" w:ascii="宋体" w:hAnsi="宋体" w:eastAsia="宋体" w:cs="宋体"/>
          <w:bCs/>
          <w:color w:val="auto"/>
          <w:sz w:val="30"/>
          <w:szCs w:val="30"/>
          <w:highlight w:val="none"/>
          <w:lang w:eastAsia="zh-CN"/>
        </w:rPr>
        <w:t xml:space="preserve"> </w:t>
      </w:r>
    </w:p>
    <w:p>
      <w:pPr>
        <w:widowControl/>
        <w:spacing w:line="360" w:lineRule="auto"/>
        <w:ind w:firstLine="420"/>
        <w:jc w:val="center"/>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rPr>
        <w:t xml:space="preserve">   </w:t>
      </w:r>
    </w:p>
    <w:p>
      <w:pPr>
        <w:widowControl/>
        <w:spacing w:line="360" w:lineRule="auto"/>
        <w:ind w:firstLine="420"/>
        <w:jc w:val="center"/>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rPr>
        <w:t xml:space="preserve"> </w:t>
      </w:r>
    </w:p>
    <w:p>
      <w:pPr>
        <w:widowControl/>
        <w:spacing w:line="360" w:lineRule="auto"/>
        <w:ind w:firstLine="420"/>
        <w:jc w:val="center"/>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rPr>
        <w:t xml:space="preserve">   </w:t>
      </w:r>
    </w:p>
    <w:p>
      <w:pPr>
        <w:widowControl/>
        <w:spacing w:line="360" w:lineRule="auto"/>
        <w:ind w:firstLine="420"/>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      </w:t>
      </w:r>
    </w:p>
    <w:p>
      <w:pPr>
        <w:widowControl/>
        <w:spacing w:line="360" w:lineRule="auto"/>
        <w:ind w:firstLine="420"/>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  </w:t>
      </w:r>
    </w:p>
    <w:p>
      <w:pPr>
        <w:spacing w:line="360" w:lineRule="auto"/>
        <w:ind w:firstLine="930" w:firstLineChars="295"/>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招标</w:t>
      </w:r>
      <w:r>
        <w:rPr>
          <w:rFonts w:hint="eastAsia" w:ascii="宋体" w:hAnsi="宋体" w:eastAsia="宋体" w:cs="宋体"/>
          <w:b/>
          <w:bCs/>
          <w:color w:val="auto"/>
          <w:sz w:val="32"/>
          <w:szCs w:val="32"/>
          <w:highlight w:val="none"/>
          <w:lang w:val="en-US" w:eastAsia="zh-CN"/>
        </w:rPr>
        <w:t>人</w:t>
      </w:r>
      <w:r>
        <w:rPr>
          <w:rFonts w:hint="eastAsia" w:ascii="宋体" w:hAnsi="宋体" w:eastAsia="宋体" w:cs="宋体"/>
          <w:b/>
          <w:bCs/>
          <w:color w:val="auto"/>
          <w:sz w:val="32"/>
          <w:szCs w:val="32"/>
          <w:highlight w:val="none"/>
        </w:rPr>
        <w:t>：</w:t>
      </w:r>
      <w:r>
        <w:rPr>
          <w:rFonts w:hint="eastAsia" w:ascii="宋体" w:hAnsi="宋体" w:eastAsia="宋体" w:cs="宋体"/>
          <w:b/>
          <w:bCs/>
          <w:color w:val="auto"/>
          <w:sz w:val="32"/>
          <w:szCs w:val="32"/>
          <w:highlight w:val="none"/>
          <w:lang w:val="en-US" w:eastAsia="zh-CN"/>
        </w:rPr>
        <w:t>枞阳县建设投资有限公司</w:t>
      </w:r>
    </w:p>
    <w:p>
      <w:pPr>
        <w:spacing w:line="360" w:lineRule="auto"/>
        <w:ind w:firstLine="1245" w:firstLineChars="395"/>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招标代理机构：安徽安天利信工程管理股份有限公司</w:t>
      </w:r>
    </w:p>
    <w:p>
      <w:pPr>
        <w:spacing w:line="360" w:lineRule="auto"/>
        <w:ind w:firstLine="1245" w:firstLineChars="395"/>
        <w:rPr>
          <w:rFonts w:hint="eastAsia" w:ascii="宋体" w:hAnsi="宋体" w:eastAsia="宋体" w:cs="宋体"/>
          <w:b/>
          <w:bCs/>
          <w:color w:val="auto"/>
          <w:sz w:val="32"/>
          <w:szCs w:val="32"/>
          <w:highlight w:val="none"/>
          <w:u w:val="single"/>
        </w:rPr>
      </w:pPr>
    </w:p>
    <w:p>
      <w:pPr>
        <w:pStyle w:val="13"/>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 xml:space="preserve"> 202</w:t>
      </w:r>
      <w:r>
        <w:rPr>
          <w:rFonts w:hint="eastAsia" w:ascii="宋体" w:hAnsi="宋体" w:eastAsia="宋体" w:cs="宋体"/>
          <w:b/>
          <w:bCs/>
          <w:color w:val="auto"/>
          <w:sz w:val="32"/>
          <w:szCs w:val="32"/>
          <w:highlight w:val="none"/>
          <w:lang w:val="en-US"/>
        </w:rPr>
        <w:t>2</w:t>
      </w:r>
      <w:r>
        <w:rPr>
          <w:rFonts w:hint="eastAsia" w:ascii="宋体" w:hAnsi="宋体" w:eastAsia="宋体" w:cs="宋体"/>
          <w:b/>
          <w:bCs/>
          <w:color w:val="auto"/>
          <w:sz w:val="32"/>
          <w:szCs w:val="32"/>
          <w:highlight w:val="none"/>
        </w:rPr>
        <w:t>年</w:t>
      </w:r>
      <w:r>
        <w:rPr>
          <w:rFonts w:hint="eastAsia" w:hAnsi="宋体" w:cs="宋体"/>
          <w:b/>
          <w:bCs/>
          <w:color w:val="auto"/>
          <w:sz w:val="32"/>
          <w:szCs w:val="32"/>
          <w:highlight w:val="none"/>
          <w:lang w:val="en-US" w:eastAsia="zh-CN"/>
        </w:rPr>
        <w:t>5</w:t>
      </w:r>
      <w:r>
        <w:rPr>
          <w:rFonts w:hint="eastAsia" w:ascii="宋体" w:hAnsi="宋体" w:eastAsia="宋体" w:cs="宋体"/>
          <w:b/>
          <w:bCs/>
          <w:color w:val="auto"/>
          <w:sz w:val="32"/>
          <w:szCs w:val="32"/>
          <w:highlight w:val="none"/>
        </w:rPr>
        <w:t>月</w:t>
      </w:r>
    </w:p>
    <w:p>
      <w:pPr>
        <w:pStyle w:val="13"/>
        <w:spacing w:line="360" w:lineRule="auto"/>
        <w:jc w:val="center"/>
        <w:rPr>
          <w:rFonts w:hint="eastAsia" w:ascii="宋体" w:hAnsi="宋体" w:eastAsia="宋体" w:cs="宋体"/>
          <w:b/>
          <w:bCs/>
          <w:color w:val="auto"/>
          <w:sz w:val="32"/>
          <w:szCs w:val="32"/>
          <w:highlight w:val="none"/>
        </w:rPr>
      </w:pPr>
    </w:p>
    <w:p>
      <w:pPr>
        <w:pStyle w:val="13"/>
        <w:spacing w:line="360" w:lineRule="auto"/>
        <w:jc w:val="center"/>
        <w:rPr>
          <w:rFonts w:hint="eastAsia" w:ascii="宋体" w:hAnsi="宋体" w:eastAsia="宋体" w:cs="宋体"/>
          <w:b/>
          <w:bCs/>
          <w:color w:val="auto"/>
          <w:sz w:val="32"/>
          <w:szCs w:val="32"/>
          <w:highlight w:val="none"/>
        </w:rPr>
      </w:pPr>
    </w:p>
    <w:p>
      <w:pPr>
        <w:tabs>
          <w:tab w:val="left" w:pos="889"/>
        </w:tabs>
        <w:spacing w:line="689" w:lineRule="exact"/>
        <w:ind w:left="5"/>
        <w:jc w:val="center"/>
        <w:rPr>
          <w:rFonts w:hint="eastAsia" w:ascii="宋体" w:hAnsi="宋体" w:eastAsia="宋体" w:cs="宋体"/>
          <w:b/>
          <w:color w:val="auto"/>
          <w:sz w:val="44"/>
          <w:highlight w:val="none"/>
        </w:rPr>
      </w:pPr>
    </w:p>
    <w:p>
      <w:pPr>
        <w:tabs>
          <w:tab w:val="left" w:pos="889"/>
        </w:tabs>
        <w:spacing w:line="689" w:lineRule="exact"/>
        <w:ind w:left="5"/>
        <w:jc w:val="center"/>
        <w:rPr>
          <w:rFonts w:hint="eastAsia" w:ascii="宋体" w:hAnsi="宋体" w:eastAsia="宋体" w:cs="宋体"/>
          <w:b/>
          <w:color w:val="auto"/>
          <w:sz w:val="44"/>
          <w:highlight w:val="none"/>
        </w:rPr>
      </w:pPr>
      <w:r>
        <w:rPr>
          <w:rFonts w:hint="eastAsia" w:ascii="宋体" w:hAnsi="宋体" w:eastAsia="宋体" w:cs="宋体"/>
          <w:b/>
          <w:color w:val="auto"/>
          <w:sz w:val="44"/>
          <w:highlight w:val="none"/>
        </w:rPr>
        <w:t>目</w:t>
      </w:r>
      <w:r>
        <w:rPr>
          <w:rFonts w:hint="eastAsia" w:ascii="宋体" w:hAnsi="宋体" w:eastAsia="宋体" w:cs="宋体"/>
          <w:b/>
          <w:color w:val="auto"/>
          <w:sz w:val="44"/>
          <w:highlight w:val="none"/>
        </w:rPr>
        <w:tab/>
      </w:r>
      <w:r>
        <w:rPr>
          <w:rFonts w:hint="eastAsia" w:ascii="宋体" w:hAnsi="宋体" w:eastAsia="宋体" w:cs="宋体"/>
          <w:b/>
          <w:color w:val="auto"/>
          <w:sz w:val="44"/>
          <w:highlight w:val="none"/>
        </w:rPr>
        <w:t>录</w:t>
      </w:r>
    </w:p>
    <w:p>
      <w:pPr>
        <w:pStyle w:val="2"/>
        <w:spacing w:before="5"/>
        <w:rPr>
          <w:rFonts w:hint="eastAsia" w:ascii="宋体" w:hAnsi="宋体" w:eastAsia="宋体" w:cs="宋体"/>
          <w:b/>
          <w:color w:val="auto"/>
          <w:sz w:val="34"/>
          <w:highlight w:val="none"/>
        </w:rPr>
      </w:pPr>
    </w:p>
    <w:p>
      <w:pPr>
        <w:pStyle w:val="17"/>
        <w:keepNext w:val="0"/>
        <w:keepLines w:val="0"/>
        <w:pageBreakBefore w:val="0"/>
        <w:widowControl w:val="0"/>
        <w:tabs>
          <w:tab w:val="right" w:pos="2000"/>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TOC \o "1-2" \h \u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_Toc9026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上篇</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t>专用部分</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_Toc9026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3</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pStyle w:val="17"/>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_Toc13921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第一章</w:t>
      </w:r>
      <w:r>
        <w:rPr>
          <w:rFonts w:hint="eastAsia" w:ascii="宋体" w:hAnsi="宋体" w:eastAsia="宋体" w:cs="宋体"/>
          <w:b/>
          <w:bCs/>
          <w:color w:val="auto"/>
          <w:sz w:val="28"/>
          <w:szCs w:val="28"/>
          <w:highlight w:val="none"/>
          <w:lang w:val="en-US"/>
        </w:rPr>
        <w:t xml:space="preserve">  </w:t>
      </w:r>
      <w:r>
        <w:rPr>
          <w:rFonts w:hint="eastAsia" w:ascii="宋体" w:hAnsi="宋体" w:eastAsia="宋体" w:cs="宋体"/>
          <w:b/>
          <w:bCs/>
          <w:color w:val="auto"/>
          <w:sz w:val="28"/>
          <w:szCs w:val="28"/>
          <w:highlight w:val="none"/>
        </w:rPr>
        <w:t>招标公告</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_Toc13921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3</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pStyle w:val="17"/>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_Toc5097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第二章</w:t>
      </w:r>
      <w:r>
        <w:rPr>
          <w:rFonts w:hint="eastAsia" w:ascii="宋体" w:hAnsi="宋体" w:eastAsia="宋体" w:cs="宋体"/>
          <w:b/>
          <w:bCs/>
          <w:color w:val="auto"/>
          <w:sz w:val="28"/>
          <w:szCs w:val="28"/>
          <w:highlight w:val="none"/>
          <w:lang w:val="en-US"/>
        </w:rPr>
        <w:t xml:space="preserve">  </w:t>
      </w:r>
      <w:r>
        <w:rPr>
          <w:rFonts w:hint="eastAsia" w:ascii="宋体" w:hAnsi="宋体" w:eastAsia="宋体" w:cs="宋体"/>
          <w:b/>
          <w:bCs/>
          <w:color w:val="auto"/>
          <w:sz w:val="28"/>
          <w:szCs w:val="28"/>
          <w:highlight w:val="none"/>
        </w:rPr>
        <w:t>投标须知前附表</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_Toc5097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7</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pStyle w:val="17"/>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_Toc16086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第三章</w:t>
      </w:r>
      <w:r>
        <w:rPr>
          <w:rFonts w:hint="eastAsia" w:ascii="宋体" w:hAnsi="宋体" w:eastAsia="宋体" w:cs="宋体"/>
          <w:b/>
          <w:bCs/>
          <w:color w:val="auto"/>
          <w:sz w:val="28"/>
          <w:szCs w:val="28"/>
          <w:highlight w:val="none"/>
          <w:lang w:val="en-US"/>
        </w:rPr>
        <w:t xml:space="preserve">  </w:t>
      </w:r>
      <w:r>
        <w:rPr>
          <w:rFonts w:hint="eastAsia" w:ascii="宋体" w:hAnsi="宋体" w:eastAsia="宋体" w:cs="宋体"/>
          <w:b/>
          <w:bCs/>
          <w:color w:val="auto"/>
          <w:sz w:val="28"/>
          <w:szCs w:val="28"/>
          <w:highlight w:val="none"/>
        </w:rPr>
        <w:t>需补充或改动的格式条款</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_Toc16086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12</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pStyle w:val="17"/>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_Toc6902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第四章</w:t>
      </w:r>
      <w:r>
        <w:rPr>
          <w:rFonts w:hint="eastAsia" w:ascii="宋体" w:hAnsi="宋体" w:eastAsia="宋体" w:cs="宋体"/>
          <w:b/>
          <w:bCs/>
          <w:color w:val="auto"/>
          <w:sz w:val="28"/>
          <w:szCs w:val="28"/>
          <w:highlight w:val="none"/>
          <w:lang w:val="en-US"/>
        </w:rPr>
        <w:t xml:space="preserve">  </w:t>
      </w:r>
      <w:r>
        <w:rPr>
          <w:rFonts w:hint="eastAsia" w:ascii="宋体" w:hAnsi="宋体" w:eastAsia="宋体" w:cs="宋体"/>
          <w:b/>
          <w:bCs/>
          <w:color w:val="auto"/>
          <w:sz w:val="28"/>
          <w:szCs w:val="28"/>
          <w:highlight w:val="none"/>
        </w:rPr>
        <w:t>图纸、技术标准和要求（附件）</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_Toc6902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15</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pStyle w:val="17"/>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_Toc14737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第</w:t>
      </w:r>
      <w:r>
        <w:rPr>
          <w:rFonts w:hint="eastAsia" w:ascii="宋体" w:hAnsi="宋体" w:eastAsia="宋体" w:cs="宋体"/>
          <w:b/>
          <w:bCs/>
          <w:color w:val="auto"/>
          <w:sz w:val="28"/>
          <w:szCs w:val="28"/>
          <w:highlight w:val="none"/>
          <w:lang w:val="en-US" w:eastAsia="zh-CN"/>
        </w:rPr>
        <w:t>五</w:t>
      </w:r>
      <w:r>
        <w:rPr>
          <w:rFonts w:hint="eastAsia" w:ascii="宋体" w:hAnsi="宋体" w:eastAsia="宋体" w:cs="宋体"/>
          <w:b/>
          <w:bCs/>
          <w:color w:val="auto"/>
          <w:sz w:val="28"/>
          <w:szCs w:val="28"/>
          <w:highlight w:val="none"/>
        </w:rPr>
        <w:t>章</w:t>
      </w:r>
      <w:r>
        <w:rPr>
          <w:rFonts w:hint="eastAsia" w:ascii="宋体" w:hAnsi="宋体" w:eastAsia="宋体" w:cs="宋体"/>
          <w:b/>
          <w:bCs/>
          <w:color w:val="auto"/>
          <w:sz w:val="28"/>
          <w:szCs w:val="28"/>
          <w:highlight w:val="none"/>
          <w:lang w:val="en-US"/>
        </w:rPr>
        <w:t xml:space="preserve">  </w:t>
      </w:r>
      <w:r>
        <w:rPr>
          <w:rFonts w:hint="eastAsia" w:ascii="宋体" w:hAnsi="宋体" w:eastAsia="宋体" w:cs="宋体"/>
          <w:b/>
          <w:bCs/>
          <w:color w:val="auto"/>
          <w:sz w:val="28"/>
          <w:szCs w:val="28"/>
          <w:highlight w:val="none"/>
          <w:lang w:val="en-US" w:eastAsia="zh-CN"/>
        </w:rPr>
        <w:t>工程量清单</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_Toc14737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23</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pStyle w:val="17"/>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_Toc10171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 xml:space="preserve">第六章 </w:t>
      </w:r>
      <w:r>
        <w:rPr>
          <w:rFonts w:hint="eastAsia" w:ascii="宋体" w:hAnsi="宋体" w:eastAsia="宋体" w:cs="宋体"/>
          <w:b/>
          <w:bCs/>
          <w:color w:val="auto"/>
          <w:sz w:val="28"/>
          <w:szCs w:val="28"/>
          <w:highlight w:val="none"/>
          <w:lang w:val="en-US" w:eastAsia="zh-CN"/>
        </w:rPr>
        <w:t>合同专用条款</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_Toc10171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25</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pStyle w:val="17"/>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_Toc5753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下篇</w:t>
      </w:r>
      <w:r>
        <w:rPr>
          <w:rFonts w:hint="eastAsia" w:ascii="宋体" w:hAnsi="宋体" w:eastAsia="宋体" w:cs="宋体"/>
          <w:b/>
          <w:bCs/>
          <w:color w:val="auto"/>
          <w:sz w:val="28"/>
          <w:szCs w:val="28"/>
          <w:highlight w:val="none"/>
          <w:lang w:val="en-US"/>
        </w:rPr>
        <w:t xml:space="preserve">  </w:t>
      </w:r>
      <w:r>
        <w:rPr>
          <w:rFonts w:hint="eastAsia" w:ascii="宋体" w:hAnsi="宋体" w:eastAsia="宋体" w:cs="宋体"/>
          <w:b/>
          <w:bCs/>
          <w:color w:val="auto"/>
          <w:sz w:val="28"/>
          <w:szCs w:val="28"/>
          <w:highlight w:val="none"/>
        </w:rPr>
        <w:t>通用部分</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_Toc5753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33</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pStyle w:val="20"/>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_Toc6396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（一）总  则</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_Toc6396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34</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pStyle w:val="20"/>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_Toc30190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（二） 招标文件</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_Toc30190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35</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pStyle w:val="20"/>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_Toc32665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（三）投标文件的编制</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_Toc32665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35</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bookmarkStart w:id="87" w:name="_GoBack"/>
      <w:bookmarkEnd w:id="87"/>
    </w:p>
    <w:p>
      <w:pPr>
        <w:pStyle w:val="20"/>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_Toc22345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（四）投标文件的提交</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_Toc22345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40</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pStyle w:val="20"/>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_Toc12183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（五）开标</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_Toc12183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41</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pStyle w:val="20"/>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_Toc4162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（六）评标、定标</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_Toc4162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42</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pStyle w:val="20"/>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_Toc23152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（七）合同的授予</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_Toc23152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46</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pStyle w:val="20"/>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_Toc31880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（八）电子开评标相关要求</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_Toc31880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47</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pStyle w:val="17"/>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_Toc1227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第二章</w:t>
      </w:r>
      <w:r>
        <w:rPr>
          <w:rFonts w:hint="eastAsia" w:ascii="宋体" w:hAnsi="宋体" w:eastAsia="宋体" w:cs="宋体"/>
          <w:b/>
          <w:bCs/>
          <w:color w:val="auto"/>
          <w:sz w:val="28"/>
          <w:szCs w:val="28"/>
          <w:highlight w:val="none"/>
          <w:lang w:val="en-US"/>
        </w:rPr>
        <w:t xml:space="preserve">  </w:t>
      </w:r>
      <w:r>
        <w:rPr>
          <w:rFonts w:hint="eastAsia" w:ascii="宋体" w:hAnsi="宋体" w:eastAsia="宋体" w:cs="宋体"/>
          <w:b/>
          <w:bCs/>
          <w:color w:val="auto"/>
          <w:sz w:val="28"/>
          <w:szCs w:val="28"/>
          <w:highlight w:val="none"/>
        </w:rPr>
        <w:t>评标办法</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_Toc1227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50</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pStyle w:val="17"/>
        <w:keepNext w:val="0"/>
        <w:keepLines w:val="0"/>
        <w:pageBreakBefore w:val="0"/>
        <w:widowControl w:val="0"/>
        <w:tabs>
          <w:tab w:val="right" w:leader="dot" w:pos="9643"/>
        </w:tabs>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_Toc3855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第四章</w:t>
      </w:r>
      <w:r>
        <w:rPr>
          <w:rFonts w:hint="eastAsia" w:ascii="宋体" w:hAnsi="宋体" w:eastAsia="宋体" w:cs="宋体"/>
          <w:b/>
          <w:bCs/>
          <w:color w:val="auto"/>
          <w:sz w:val="28"/>
          <w:szCs w:val="28"/>
          <w:highlight w:val="none"/>
          <w:lang w:val="en-US"/>
        </w:rPr>
        <w:t xml:space="preserve">  </w:t>
      </w:r>
      <w:r>
        <w:rPr>
          <w:rFonts w:hint="eastAsia" w:ascii="宋体" w:hAnsi="宋体" w:eastAsia="宋体" w:cs="宋体"/>
          <w:b/>
          <w:bCs/>
          <w:color w:val="auto"/>
          <w:sz w:val="28"/>
          <w:szCs w:val="28"/>
          <w:highlight w:val="none"/>
        </w:rPr>
        <w:t>投标文件格式</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_Toc3855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58</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pPr>
        <w:keepNext w:val="0"/>
        <w:keepLines w:val="0"/>
        <w:pageBreakBefore w:val="0"/>
        <w:widowControl w:val="0"/>
        <w:kinsoku/>
        <w:wordWrap/>
        <w:overflowPunct/>
        <w:topLinePunct w:val="0"/>
        <w:autoSpaceDE w:val="0"/>
        <w:autoSpaceDN w:val="0"/>
        <w:bidi w:val="0"/>
        <w:adjustRightInd/>
        <w:snapToGrid/>
        <w:spacing w:line="48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end"/>
      </w:r>
    </w:p>
    <w:p>
      <w:pPr>
        <w:pStyle w:val="23"/>
        <w:keepNext w:val="0"/>
        <w:keepLines w:val="0"/>
        <w:pageBreakBefore w:val="0"/>
        <w:widowControl w:val="0"/>
        <w:kinsoku/>
        <w:wordWrap/>
        <w:overflowPunct/>
        <w:topLinePunct w:val="0"/>
        <w:autoSpaceDE w:val="0"/>
        <w:autoSpaceDN w:val="0"/>
        <w:bidi w:val="0"/>
        <w:adjustRightInd/>
        <w:snapToGrid/>
        <w:spacing w:line="480" w:lineRule="auto"/>
        <w:ind w:left="428" w:firstLine="388"/>
        <w:textAlignment w:val="auto"/>
        <w:rPr>
          <w:rFonts w:hint="eastAsia" w:ascii="宋体" w:hAnsi="宋体" w:eastAsia="宋体" w:cs="宋体"/>
          <w:color w:val="auto"/>
          <w:highlight w:val="none"/>
        </w:rPr>
      </w:pPr>
    </w:p>
    <w:p>
      <w:pPr>
        <w:pStyle w:val="23"/>
        <w:ind w:left="428" w:firstLine="388"/>
        <w:rPr>
          <w:rFonts w:hint="eastAsia" w:ascii="宋体" w:hAnsi="宋体" w:eastAsia="宋体" w:cs="宋体"/>
          <w:color w:val="auto"/>
          <w:highlight w:val="none"/>
        </w:rPr>
        <w:sectPr>
          <w:footerReference r:id="rId3" w:type="default"/>
          <w:pgSz w:w="11911" w:h="16838"/>
          <w:pgMar w:top="1355" w:right="1134" w:bottom="1134" w:left="1134" w:header="850" w:footer="992" w:gutter="0"/>
          <w:cols w:space="0" w:num="1"/>
          <w:docGrid w:type="linesAndChars" w:linePitch="326" w:charSpace="-1228"/>
        </w:sectPr>
      </w:pPr>
    </w:p>
    <w:p>
      <w:pPr>
        <w:pStyle w:val="4"/>
        <w:rPr>
          <w:rFonts w:hint="eastAsia" w:ascii="宋体" w:hAnsi="宋体" w:eastAsia="宋体" w:cs="宋体"/>
          <w:color w:val="auto"/>
          <w:highlight w:val="none"/>
        </w:rPr>
      </w:pPr>
      <w:bookmarkStart w:id="0" w:name="_Toc9026"/>
      <w:bookmarkStart w:id="1" w:name="_Toc6016"/>
      <w:bookmarkStart w:id="2" w:name="_Toc13364"/>
      <w:r>
        <w:rPr>
          <w:rFonts w:hint="eastAsia" w:ascii="宋体" w:hAnsi="宋体" w:eastAsia="宋体" w:cs="宋体"/>
          <w:color w:val="auto"/>
          <w:highlight w:val="none"/>
        </w:rPr>
        <w:t>上篇</w:t>
      </w:r>
      <w:r>
        <w:rPr>
          <w:rFonts w:hint="eastAsia" w:ascii="宋体" w:hAnsi="宋体" w:eastAsia="宋体" w:cs="宋体"/>
          <w:color w:val="auto"/>
          <w:highlight w:val="none"/>
        </w:rPr>
        <w:tab/>
      </w:r>
      <w:r>
        <w:rPr>
          <w:rFonts w:hint="eastAsia" w:ascii="宋体" w:hAnsi="宋体" w:eastAsia="宋体" w:cs="宋体"/>
          <w:color w:val="auto"/>
          <w:highlight w:val="none"/>
        </w:rPr>
        <w:t>专用部分</w:t>
      </w:r>
      <w:bookmarkEnd w:id="0"/>
      <w:bookmarkEnd w:id="1"/>
      <w:bookmarkEnd w:id="2"/>
    </w:p>
    <w:p>
      <w:pPr>
        <w:pStyle w:val="4"/>
        <w:rPr>
          <w:rFonts w:hint="eastAsia" w:ascii="宋体" w:hAnsi="宋体" w:eastAsia="宋体" w:cs="宋体"/>
          <w:color w:val="auto"/>
          <w:sz w:val="30"/>
          <w:highlight w:val="none"/>
        </w:rPr>
      </w:pPr>
      <w:bookmarkStart w:id="3" w:name="第一章__招标公告"/>
      <w:bookmarkEnd w:id="3"/>
      <w:bookmarkStart w:id="4" w:name="_Toc24630"/>
      <w:bookmarkStart w:id="5" w:name="_Toc27115"/>
      <w:bookmarkStart w:id="6" w:name="_Toc13921"/>
      <w:r>
        <w:rPr>
          <w:rFonts w:hint="eastAsia" w:ascii="宋体" w:hAnsi="宋体" w:eastAsia="宋体" w:cs="宋体"/>
          <w:color w:val="auto"/>
          <w:sz w:val="30"/>
          <w:highlight w:val="none"/>
        </w:rPr>
        <w:t>第一章</w:t>
      </w:r>
      <w:r>
        <w:rPr>
          <w:rFonts w:hint="eastAsia" w:ascii="宋体" w:hAnsi="宋体" w:eastAsia="宋体" w:cs="宋体"/>
          <w:color w:val="auto"/>
          <w:sz w:val="30"/>
          <w:highlight w:val="none"/>
          <w:lang w:val="en-US"/>
        </w:rPr>
        <w:t xml:space="preserve">  </w:t>
      </w:r>
      <w:r>
        <w:rPr>
          <w:rFonts w:hint="eastAsia" w:ascii="宋体" w:hAnsi="宋体" w:eastAsia="宋体" w:cs="宋体"/>
          <w:color w:val="auto"/>
          <w:sz w:val="30"/>
          <w:highlight w:val="none"/>
        </w:rPr>
        <w:t>招标公告</w:t>
      </w:r>
      <w:bookmarkEnd w:id="4"/>
      <w:bookmarkEnd w:id="5"/>
      <w:bookmarkEnd w:id="6"/>
    </w:p>
    <w:p>
      <w:pPr>
        <w:pStyle w:val="6"/>
        <w:spacing w:before="35"/>
        <w:ind w:right="577"/>
        <w:rPr>
          <w:rFonts w:hint="eastAsia" w:ascii="宋体" w:hAnsi="宋体" w:eastAsia="宋体" w:cs="宋体"/>
          <w:b/>
          <w:color w:val="auto"/>
          <w:sz w:val="16"/>
          <w:highlight w:val="none"/>
        </w:rPr>
      </w:pPr>
      <w:bookmarkStart w:id="7" w:name="（一）招标公告"/>
      <w:bookmarkEnd w:id="7"/>
      <w:r>
        <w:rPr>
          <w:rFonts w:hint="eastAsia" w:ascii="宋体" w:hAnsi="宋体" w:eastAsia="宋体" w:cs="宋体"/>
          <w:color w:val="auto"/>
          <w:highlight w:val="none"/>
        </w:rPr>
        <w:t>（一）招标公告</w:t>
      </w:r>
    </w:p>
    <w:p>
      <w:pPr>
        <w:pStyle w:val="21"/>
        <w:keepNext w:val="0"/>
        <w:keepLines w:val="0"/>
        <w:widowControl/>
        <w:suppressLineNumbers w:val="0"/>
        <w:spacing w:before="0" w:beforeAutospacing="0" w:after="0" w:afterAutospacing="0" w:line="520" w:lineRule="atLeast"/>
        <w:ind w:left="0" w:right="0" w:firstLine="480"/>
        <w:jc w:val="left"/>
        <w:rPr>
          <w:rFonts w:hint="eastAsia" w:ascii="宋体" w:hAnsi="宋体" w:eastAsia="宋体" w:cs="宋体"/>
          <w:color w:val="auto"/>
          <w:sz w:val="24"/>
          <w:szCs w:val="24"/>
          <w:highlight w:val="none"/>
          <w:lang w:val="en-US" w:eastAsia="zh-CN"/>
        </w:rPr>
      </w:pPr>
      <w:bookmarkStart w:id="8" w:name="_Toc3648"/>
      <w:bookmarkStart w:id="9" w:name="_Toc19300"/>
      <w:r>
        <w:rPr>
          <w:rFonts w:hint="eastAsia" w:ascii="宋体" w:hAnsi="宋体" w:eastAsia="宋体" w:cs="宋体"/>
          <w:color w:val="auto"/>
          <w:sz w:val="24"/>
          <w:szCs w:val="24"/>
          <w:highlight w:val="none"/>
        </w:rPr>
        <w:t>招标编号：</w:t>
      </w:r>
      <w:r>
        <w:rPr>
          <w:rFonts w:hint="eastAsia" w:ascii="宋体" w:hAnsi="宋体" w:eastAsia="宋体" w:cs="宋体"/>
          <w:color w:val="auto"/>
          <w:sz w:val="24"/>
          <w:szCs w:val="24"/>
          <w:highlight w:val="none"/>
          <w:lang w:val="en-US" w:eastAsia="zh-CN"/>
        </w:rPr>
        <w:t xml:space="preserve"> </w:t>
      </w:r>
    </w:p>
    <w:p>
      <w:pPr>
        <w:pStyle w:val="21"/>
        <w:keepNext w:val="0"/>
        <w:keepLines w:val="0"/>
        <w:widowControl/>
        <w:suppressLineNumbers w:val="0"/>
        <w:spacing w:before="0" w:beforeAutospacing="0" w:after="0" w:afterAutospacing="0" w:line="520" w:lineRule="atLeast"/>
        <w:ind w:left="0" w:right="0" w:firstLine="562"/>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一、招标条件</w:t>
      </w:r>
    </w:p>
    <w:p>
      <w:pPr>
        <w:pStyle w:val="21"/>
        <w:keepNext w:val="0"/>
        <w:keepLines w:val="0"/>
        <w:widowControl/>
        <w:suppressLineNumbers w:val="0"/>
        <w:spacing w:before="120" w:beforeAutospacing="0" w:after="0" w:afterAutospacing="0" w:line="250" w:lineRule="atLeast"/>
        <w:ind w:left="0" w:right="0"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1.工程名称：</w:t>
      </w:r>
      <w:r>
        <w:rPr>
          <w:rFonts w:hint="eastAsia" w:cs="宋体"/>
          <w:color w:val="auto"/>
          <w:sz w:val="24"/>
          <w:szCs w:val="24"/>
          <w:highlight w:val="none"/>
          <w:shd w:val="clear" w:fill="FFFFFF"/>
          <w:lang w:eastAsia="zh-CN"/>
        </w:rPr>
        <w:t>枞阳县人民医院外科综合大楼电梯采购与安装</w:t>
      </w:r>
      <w:r>
        <w:rPr>
          <w:rFonts w:hint="eastAsia" w:ascii="宋体" w:hAnsi="宋体" w:eastAsia="宋体" w:cs="宋体"/>
          <w:color w:val="auto"/>
          <w:sz w:val="24"/>
          <w:szCs w:val="24"/>
          <w:highlight w:val="none"/>
          <w:shd w:val="clear" w:fill="FFFFFF"/>
        </w:rPr>
        <w:t>；</w:t>
      </w:r>
    </w:p>
    <w:p>
      <w:pPr>
        <w:pStyle w:val="21"/>
        <w:keepNext w:val="0"/>
        <w:keepLines w:val="0"/>
        <w:widowControl/>
        <w:suppressLineNumbers w:val="0"/>
        <w:spacing w:before="0" w:beforeAutospacing="0" w:after="0" w:afterAutospacing="0" w:line="520" w:lineRule="atLeast"/>
        <w:ind w:left="0" w:right="0"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2.项目审批机关名称：</w:t>
      </w:r>
      <w:r>
        <w:rPr>
          <w:rFonts w:hint="eastAsia" w:ascii="宋体" w:hAnsi="宋体" w:eastAsia="宋体" w:cs="宋体"/>
          <w:color w:val="auto"/>
          <w:sz w:val="24"/>
          <w:szCs w:val="24"/>
          <w:highlight w:val="none"/>
          <w:shd w:val="clear" w:fill="FFFFFF"/>
          <w:lang w:val="en-US" w:eastAsia="zh-CN"/>
        </w:rPr>
        <w:t>枞阳县发展和改革委员会</w:t>
      </w:r>
      <w:r>
        <w:rPr>
          <w:rFonts w:hint="eastAsia" w:ascii="宋体" w:hAnsi="宋体" w:eastAsia="宋体" w:cs="宋体"/>
          <w:color w:val="auto"/>
          <w:sz w:val="24"/>
          <w:szCs w:val="24"/>
          <w:highlight w:val="none"/>
          <w:shd w:val="clear" w:fill="FFFFFF"/>
        </w:rPr>
        <w:t>；</w:t>
      </w:r>
    </w:p>
    <w:p>
      <w:pPr>
        <w:pStyle w:val="21"/>
        <w:keepNext w:val="0"/>
        <w:keepLines w:val="0"/>
        <w:widowControl/>
        <w:suppressLineNumbers w:val="0"/>
        <w:spacing w:before="0" w:beforeAutospacing="0" w:after="0" w:afterAutospacing="0" w:line="520" w:lineRule="atLeast"/>
        <w:ind w:left="0" w:right="0" w:firstLine="480"/>
        <w:jc w:val="left"/>
        <w:rPr>
          <w:rFonts w:hint="eastAsia" w:ascii="宋体" w:hAnsi="宋体" w:eastAsia="宋体" w:cs="宋体"/>
          <w:color w:val="auto"/>
          <w:sz w:val="24"/>
          <w:szCs w:val="24"/>
          <w:highlight w:val="none"/>
          <w:shd w:val="clear" w:fill="FFFFFF"/>
        </w:rPr>
      </w:pPr>
      <w:r>
        <w:rPr>
          <w:rFonts w:hint="eastAsia" w:ascii="宋体" w:hAnsi="宋体" w:eastAsia="宋体" w:cs="宋体"/>
          <w:color w:val="auto"/>
          <w:sz w:val="24"/>
          <w:szCs w:val="24"/>
          <w:highlight w:val="none"/>
          <w:shd w:val="clear" w:fill="FFFFFF"/>
        </w:rPr>
        <w:t>3.招标</w:t>
      </w:r>
      <w:r>
        <w:rPr>
          <w:rFonts w:hint="eastAsia" w:ascii="宋体" w:hAnsi="宋体" w:eastAsia="宋体" w:cs="宋体"/>
          <w:color w:val="auto"/>
          <w:sz w:val="24"/>
          <w:szCs w:val="24"/>
          <w:highlight w:val="none"/>
          <w:shd w:val="clear" w:fill="FFFFFF"/>
          <w:lang w:val="en-US" w:eastAsia="zh-CN"/>
        </w:rPr>
        <w:t>人</w:t>
      </w:r>
      <w:r>
        <w:rPr>
          <w:rFonts w:hint="eastAsia" w:ascii="宋体" w:hAnsi="宋体" w:eastAsia="宋体" w:cs="宋体"/>
          <w:color w:val="auto"/>
          <w:sz w:val="24"/>
          <w:szCs w:val="24"/>
          <w:highlight w:val="none"/>
          <w:shd w:val="clear" w:fill="FFFFFF"/>
        </w:rPr>
        <w:t>：</w:t>
      </w:r>
      <w:r>
        <w:rPr>
          <w:rFonts w:hint="eastAsia" w:ascii="宋体" w:hAnsi="宋体" w:eastAsia="宋体" w:cs="宋体"/>
          <w:color w:val="auto"/>
          <w:sz w:val="24"/>
          <w:szCs w:val="24"/>
          <w:highlight w:val="none"/>
          <w:shd w:val="clear" w:fill="FFFFFF"/>
          <w:lang w:val="en-US" w:eastAsia="zh-CN"/>
        </w:rPr>
        <w:t>枞阳县建设投资有限公司</w:t>
      </w:r>
      <w:r>
        <w:rPr>
          <w:rFonts w:hint="eastAsia" w:ascii="宋体" w:hAnsi="宋体" w:eastAsia="宋体" w:cs="宋体"/>
          <w:color w:val="auto"/>
          <w:sz w:val="24"/>
          <w:szCs w:val="24"/>
          <w:highlight w:val="none"/>
          <w:shd w:val="clear" w:fill="FFFFFF"/>
        </w:rPr>
        <w:t>；</w:t>
      </w:r>
    </w:p>
    <w:p>
      <w:pPr>
        <w:pStyle w:val="21"/>
        <w:keepNext w:val="0"/>
        <w:keepLines w:val="0"/>
        <w:widowControl/>
        <w:suppressLineNumbers w:val="0"/>
        <w:spacing w:before="0" w:beforeAutospacing="0" w:after="0" w:afterAutospacing="0" w:line="520" w:lineRule="atLeast"/>
        <w:ind w:left="0" w:right="0" w:firstLine="480"/>
        <w:jc w:val="left"/>
        <w:rPr>
          <w:rFonts w:hint="eastAsia" w:ascii="宋体" w:hAnsi="宋体" w:eastAsia="宋体" w:cs="宋体"/>
          <w:color w:val="auto"/>
          <w:sz w:val="24"/>
          <w:szCs w:val="24"/>
          <w:highlight w:val="none"/>
          <w:shd w:val="clear" w:fill="FFFFFF"/>
          <w:lang w:val="en-US" w:eastAsia="zh-CN"/>
        </w:rPr>
      </w:pPr>
      <w:r>
        <w:rPr>
          <w:rFonts w:hint="eastAsia" w:ascii="宋体" w:hAnsi="宋体" w:eastAsia="宋体" w:cs="宋体"/>
          <w:color w:val="auto"/>
          <w:sz w:val="24"/>
          <w:szCs w:val="24"/>
          <w:highlight w:val="none"/>
          <w:shd w:val="clear" w:fill="FFFFFF"/>
          <w:lang w:val="en-US" w:eastAsia="zh-CN"/>
        </w:rPr>
        <w:t>4</w:t>
      </w:r>
      <w:r>
        <w:rPr>
          <w:rFonts w:hint="eastAsia" w:ascii="宋体" w:hAnsi="宋体" w:eastAsia="宋体" w:cs="宋体"/>
          <w:color w:val="auto"/>
          <w:sz w:val="24"/>
          <w:szCs w:val="24"/>
          <w:highlight w:val="none"/>
          <w:shd w:val="clear" w:fill="FFFFFF"/>
        </w:rPr>
        <w:t>.</w:t>
      </w:r>
      <w:r>
        <w:rPr>
          <w:rFonts w:hint="eastAsia" w:ascii="宋体" w:hAnsi="宋体" w:eastAsia="宋体" w:cs="宋体"/>
          <w:color w:val="auto"/>
          <w:sz w:val="24"/>
          <w:szCs w:val="24"/>
          <w:highlight w:val="none"/>
          <w:shd w:val="clear" w:fill="FFFFFF"/>
          <w:lang w:val="en-US" w:eastAsia="zh-CN"/>
        </w:rPr>
        <w:t>使用人:</w:t>
      </w:r>
      <w:r>
        <w:rPr>
          <w:rFonts w:hint="eastAsia" w:ascii="宋体" w:hAnsi="宋体" w:eastAsia="宋体" w:cs="宋体"/>
          <w:color w:val="auto"/>
          <w:sz w:val="24"/>
          <w:szCs w:val="24"/>
          <w:highlight w:val="none"/>
          <w:shd w:val="clear" w:fill="FFFFFF"/>
          <w:lang w:eastAsia="zh-CN"/>
        </w:rPr>
        <w:t>枞阳县人民医院</w:t>
      </w:r>
      <w:r>
        <w:rPr>
          <w:rFonts w:hint="eastAsia" w:ascii="宋体" w:hAnsi="宋体" w:eastAsia="宋体" w:cs="宋体"/>
          <w:color w:val="auto"/>
          <w:sz w:val="24"/>
          <w:szCs w:val="24"/>
          <w:highlight w:val="none"/>
          <w:shd w:val="clear" w:fill="FFFFFF"/>
        </w:rPr>
        <w:t>；</w:t>
      </w:r>
    </w:p>
    <w:p>
      <w:pPr>
        <w:pStyle w:val="21"/>
        <w:keepNext w:val="0"/>
        <w:keepLines w:val="0"/>
        <w:widowControl/>
        <w:suppressLineNumbers w:val="0"/>
        <w:spacing w:before="0" w:beforeAutospacing="0" w:after="0" w:afterAutospacing="0" w:line="520" w:lineRule="atLeast"/>
        <w:ind w:left="0" w:right="0"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lang w:val="en-US" w:eastAsia="zh-CN"/>
        </w:rPr>
        <w:t>5</w:t>
      </w:r>
      <w:r>
        <w:rPr>
          <w:rFonts w:hint="eastAsia" w:ascii="宋体" w:hAnsi="宋体" w:eastAsia="宋体" w:cs="宋体"/>
          <w:color w:val="auto"/>
          <w:sz w:val="24"/>
          <w:szCs w:val="24"/>
          <w:highlight w:val="none"/>
          <w:shd w:val="clear" w:fill="FFFFFF"/>
        </w:rPr>
        <w:t>.资金来源：财政资金；</w:t>
      </w:r>
    </w:p>
    <w:p>
      <w:pPr>
        <w:pStyle w:val="21"/>
        <w:keepNext w:val="0"/>
        <w:keepLines w:val="0"/>
        <w:widowControl/>
        <w:suppressLineNumbers w:val="0"/>
        <w:spacing w:before="0" w:beforeAutospacing="0" w:after="0" w:afterAutospacing="0" w:line="520" w:lineRule="atLeast"/>
        <w:ind w:left="0" w:right="0"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lang w:val="en-US" w:eastAsia="zh-CN"/>
        </w:rPr>
        <w:t>6</w:t>
      </w:r>
      <w:r>
        <w:rPr>
          <w:rFonts w:hint="eastAsia" w:ascii="宋体" w:hAnsi="宋体" w:eastAsia="宋体" w:cs="宋体"/>
          <w:color w:val="auto"/>
          <w:sz w:val="24"/>
          <w:szCs w:val="24"/>
          <w:highlight w:val="none"/>
          <w:shd w:val="clear" w:fill="FFFFFF"/>
        </w:rPr>
        <w:t>.交易项目性质：</w:t>
      </w:r>
      <w:r>
        <w:rPr>
          <w:rFonts w:hint="eastAsia" w:ascii="宋体" w:hAnsi="宋体" w:eastAsia="宋体" w:cs="宋体"/>
          <w:color w:val="auto"/>
          <w:sz w:val="24"/>
          <w:szCs w:val="24"/>
          <w:highlight w:val="none"/>
          <w:shd w:val="clear" w:fill="FFFFFF"/>
          <w:lang w:val="en-US" w:eastAsia="zh-CN"/>
        </w:rPr>
        <w:t>机电</w:t>
      </w:r>
      <w:r>
        <w:rPr>
          <w:rFonts w:hint="eastAsia" w:ascii="宋体" w:hAnsi="宋体" w:eastAsia="宋体" w:cs="宋体"/>
          <w:color w:val="auto"/>
          <w:sz w:val="24"/>
          <w:szCs w:val="24"/>
          <w:highlight w:val="none"/>
          <w:shd w:val="clear" w:fill="FFFFFF"/>
        </w:rPr>
        <w:t>设备</w:t>
      </w:r>
      <w:r>
        <w:rPr>
          <w:rFonts w:hint="eastAsia" w:ascii="宋体" w:hAnsi="宋体" w:eastAsia="宋体" w:cs="宋体"/>
          <w:color w:val="auto"/>
          <w:sz w:val="24"/>
          <w:szCs w:val="24"/>
          <w:highlight w:val="none"/>
          <w:shd w:val="clear" w:fill="FFFFFF"/>
          <w:lang w:val="en-US" w:eastAsia="zh-CN"/>
        </w:rPr>
        <w:t>工程</w:t>
      </w:r>
      <w:r>
        <w:rPr>
          <w:rFonts w:hint="eastAsia" w:ascii="宋体" w:hAnsi="宋体" w:eastAsia="宋体" w:cs="宋体"/>
          <w:color w:val="auto"/>
          <w:sz w:val="24"/>
          <w:szCs w:val="24"/>
          <w:highlight w:val="none"/>
          <w:shd w:val="clear" w:fill="FFFFFF"/>
        </w:rPr>
        <w:t>；</w:t>
      </w:r>
    </w:p>
    <w:p>
      <w:pPr>
        <w:pStyle w:val="21"/>
        <w:keepNext w:val="0"/>
        <w:keepLines w:val="0"/>
        <w:widowControl/>
        <w:suppressLineNumbers w:val="0"/>
        <w:spacing w:before="0" w:beforeAutospacing="0" w:after="0" w:afterAutospacing="0" w:line="520" w:lineRule="atLeast"/>
        <w:ind w:left="0" w:right="0" w:firstLine="562"/>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二、工程概况与招标范围</w:t>
      </w:r>
    </w:p>
    <w:p>
      <w:pPr>
        <w:pStyle w:val="21"/>
        <w:keepNext w:val="0"/>
        <w:keepLines w:val="0"/>
        <w:widowControl/>
        <w:suppressLineNumbers w:val="0"/>
        <w:spacing w:before="0" w:beforeAutospacing="0" w:after="0" w:afterAutospacing="0" w:line="520" w:lineRule="atLeast"/>
        <w:ind w:left="0" w:right="0"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1.工程实施地点：枞阳县</w:t>
      </w:r>
    </w:p>
    <w:p>
      <w:pPr>
        <w:pStyle w:val="21"/>
        <w:keepNext w:val="0"/>
        <w:keepLines w:val="0"/>
        <w:widowControl/>
        <w:suppressLineNumbers w:val="0"/>
        <w:spacing w:before="0" w:beforeAutospacing="0" w:after="0" w:afterAutospacing="0" w:line="520" w:lineRule="atLeast"/>
        <w:ind w:left="0" w:right="0"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2.标段划分：一个标段；</w:t>
      </w:r>
    </w:p>
    <w:tbl>
      <w:tblPr>
        <w:tblStyle w:val="24"/>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91"/>
        <w:gridCol w:w="1087"/>
        <w:gridCol w:w="2239"/>
        <w:gridCol w:w="1509"/>
        <w:gridCol w:w="1496"/>
        <w:gridCol w:w="1735"/>
        <w:gridCol w:w="518"/>
        <w:gridCol w:w="69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9" w:hRule="atLeast"/>
          <w:jc w:val="center"/>
        </w:trPr>
        <w:tc>
          <w:tcPr>
            <w:tcW w:w="0" w:type="auto"/>
            <w:tcBorders>
              <w:top w:val="single" w:color="auto" w:sz="12" w:space="0"/>
              <w:left w:val="single" w:color="auto" w:sz="12" w:space="0"/>
              <w:bottom w:val="single" w:color="000000" w:sz="8"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标段编号</w:t>
            </w:r>
          </w:p>
        </w:tc>
        <w:tc>
          <w:tcPr>
            <w:tcW w:w="0" w:type="auto"/>
            <w:tcBorders>
              <w:top w:val="single" w:color="auto" w:sz="12" w:space="0"/>
              <w:left w:val="nil"/>
              <w:bottom w:val="single" w:color="auto" w:sz="8"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标段名称</w:t>
            </w:r>
          </w:p>
        </w:tc>
        <w:tc>
          <w:tcPr>
            <w:tcW w:w="0" w:type="auto"/>
            <w:tcBorders>
              <w:top w:val="single" w:color="auto" w:sz="12" w:space="0"/>
              <w:left w:val="nil"/>
              <w:bottom w:val="single" w:color="auto" w:sz="8"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规模</w:t>
            </w:r>
          </w:p>
        </w:tc>
        <w:tc>
          <w:tcPr>
            <w:tcW w:w="0" w:type="auto"/>
            <w:tcBorders>
              <w:top w:val="single" w:color="auto" w:sz="12" w:space="0"/>
              <w:left w:val="nil"/>
              <w:bottom w:val="single" w:color="auto" w:sz="8"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最高投标限价（元）</w:t>
            </w:r>
          </w:p>
        </w:tc>
        <w:tc>
          <w:tcPr>
            <w:tcW w:w="0" w:type="auto"/>
            <w:tcBorders>
              <w:top w:val="single" w:color="auto" w:sz="12" w:space="0"/>
              <w:left w:val="nil"/>
              <w:bottom w:val="single" w:color="auto" w:sz="8"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招标范围</w:t>
            </w:r>
          </w:p>
        </w:tc>
        <w:tc>
          <w:tcPr>
            <w:tcW w:w="0" w:type="auto"/>
            <w:tcBorders>
              <w:top w:val="single" w:color="auto" w:sz="12" w:space="0"/>
              <w:left w:val="nil"/>
              <w:bottom w:val="single" w:color="auto" w:sz="8"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交货期（日历天）</w:t>
            </w:r>
          </w:p>
        </w:tc>
        <w:tc>
          <w:tcPr>
            <w:tcW w:w="0" w:type="auto"/>
            <w:tcBorders>
              <w:top w:val="single" w:color="auto" w:sz="12" w:space="0"/>
              <w:left w:val="nil"/>
              <w:bottom w:val="single" w:color="auto" w:sz="8"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实施地点</w:t>
            </w:r>
          </w:p>
        </w:tc>
        <w:tc>
          <w:tcPr>
            <w:tcW w:w="0" w:type="auto"/>
            <w:tcBorders>
              <w:top w:val="single" w:color="auto" w:sz="12" w:space="0"/>
              <w:left w:val="nil"/>
              <w:bottom w:val="single" w:color="auto" w:sz="8" w:space="0"/>
              <w:right w:val="single" w:color="auto" w:sz="12"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实施时间</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75" w:hRule="atLeast"/>
          <w:jc w:val="center"/>
        </w:trPr>
        <w:tc>
          <w:tcPr>
            <w:tcW w:w="0" w:type="auto"/>
            <w:tcBorders>
              <w:top w:val="nil"/>
              <w:left w:val="single" w:color="auto" w:sz="12" w:space="0"/>
              <w:bottom w:val="single" w:color="auto" w:sz="12"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lang w:eastAsia="zh-CN"/>
              </w:rPr>
            </w:pPr>
          </w:p>
        </w:tc>
        <w:tc>
          <w:tcPr>
            <w:tcW w:w="0" w:type="auto"/>
            <w:tcBorders>
              <w:top w:val="nil"/>
              <w:left w:val="nil"/>
              <w:bottom w:val="single" w:color="auto" w:sz="12"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rPr>
            </w:pPr>
            <w:r>
              <w:rPr>
                <w:rFonts w:hint="eastAsia" w:cs="宋体"/>
                <w:color w:val="auto"/>
                <w:sz w:val="24"/>
                <w:szCs w:val="24"/>
                <w:highlight w:val="none"/>
                <w:lang w:eastAsia="zh-CN"/>
              </w:rPr>
              <w:t>枞阳县人民医院外科综合大楼电梯采购与安装</w:t>
            </w:r>
          </w:p>
        </w:tc>
        <w:tc>
          <w:tcPr>
            <w:tcW w:w="0" w:type="auto"/>
            <w:tcBorders>
              <w:top w:val="nil"/>
              <w:left w:val="nil"/>
              <w:bottom w:val="single" w:color="auto" w:sz="12"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13部电梯采购</w:t>
            </w:r>
            <w:r>
              <w:rPr>
                <w:rFonts w:hint="eastAsia" w:ascii="宋体" w:hAnsi="宋体" w:eastAsia="宋体" w:cs="宋体"/>
                <w:color w:val="auto"/>
                <w:sz w:val="24"/>
                <w:szCs w:val="24"/>
                <w:highlight w:val="none"/>
              </w:rPr>
              <w:t>及安装等内容，具体内容详见设备采购图纸、招标文件及货物清单中所载明内容。</w:t>
            </w:r>
          </w:p>
        </w:tc>
        <w:tc>
          <w:tcPr>
            <w:tcW w:w="0" w:type="auto"/>
            <w:tcBorders>
              <w:top w:val="nil"/>
              <w:left w:val="nil"/>
              <w:bottom w:val="single" w:color="auto" w:sz="12"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暂定</w:t>
            </w:r>
            <w:r>
              <w:rPr>
                <w:rFonts w:hint="eastAsia" w:cs="宋体"/>
                <w:color w:val="auto"/>
                <w:sz w:val="24"/>
                <w:szCs w:val="24"/>
                <w:highlight w:val="none"/>
                <w:lang w:val="en-US" w:eastAsia="zh-CN"/>
              </w:rPr>
              <w:t>约</w:t>
            </w:r>
            <w:r>
              <w:rPr>
                <w:rFonts w:hint="eastAsia" w:ascii="宋体" w:hAnsi="宋体" w:eastAsia="宋体" w:cs="宋体"/>
                <w:color w:val="auto"/>
                <w:sz w:val="24"/>
                <w:szCs w:val="24"/>
                <w:highlight w:val="none"/>
                <w:lang w:val="en-US" w:eastAsia="zh-CN"/>
              </w:rPr>
              <w:t>500万 （最终挂网以财政审批金额为准）</w:t>
            </w:r>
          </w:p>
        </w:tc>
        <w:tc>
          <w:tcPr>
            <w:tcW w:w="0" w:type="auto"/>
            <w:tcBorders>
              <w:top w:val="nil"/>
              <w:left w:val="nil"/>
              <w:bottom w:val="single" w:color="auto" w:sz="12"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详见设备采购图纸、招标文件及货物清单中所载明内容。</w:t>
            </w:r>
          </w:p>
        </w:tc>
        <w:tc>
          <w:tcPr>
            <w:tcW w:w="0" w:type="auto"/>
            <w:tcBorders>
              <w:top w:val="nil"/>
              <w:left w:val="nil"/>
              <w:bottom w:val="single" w:color="auto" w:sz="12"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480"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合同签订后并接到</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通知之日起</w:t>
            </w:r>
            <w:r>
              <w:rPr>
                <w:rFonts w:hint="eastAsia" w:ascii="宋体" w:hAnsi="宋体" w:eastAsia="宋体" w:cs="宋体"/>
                <w:color w:val="auto"/>
                <w:sz w:val="24"/>
                <w:szCs w:val="24"/>
                <w:highlight w:val="none"/>
                <w:lang w:val="en-US" w:eastAsia="zh-CN"/>
              </w:rPr>
              <w:t>120</w:t>
            </w:r>
            <w:r>
              <w:rPr>
                <w:rFonts w:hint="eastAsia" w:ascii="宋体" w:hAnsi="宋体" w:eastAsia="宋体" w:cs="宋体"/>
                <w:color w:val="auto"/>
                <w:sz w:val="24"/>
                <w:szCs w:val="24"/>
                <w:highlight w:val="none"/>
              </w:rPr>
              <w:t>日内交货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安装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调试完毕。</w:t>
            </w:r>
            <w:r>
              <w:rPr>
                <w:rFonts w:hint="eastAsia" w:ascii="宋体" w:hAnsi="宋体" w:eastAsia="宋体" w:cs="宋体"/>
                <w:color w:val="auto"/>
                <w:sz w:val="24"/>
                <w:szCs w:val="24"/>
                <w:highlight w:val="none"/>
                <w:lang w:val="en-US" w:eastAsia="zh-CN"/>
              </w:rPr>
              <w:t xml:space="preserve"> </w:t>
            </w:r>
          </w:p>
        </w:tc>
        <w:tc>
          <w:tcPr>
            <w:tcW w:w="0" w:type="auto"/>
            <w:tcBorders>
              <w:top w:val="nil"/>
              <w:left w:val="nil"/>
              <w:bottom w:val="single" w:color="auto" w:sz="12"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枞阳县</w:t>
            </w:r>
            <w:r>
              <w:rPr>
                <w:rFonts w:hint="eastAsia" w:ascii="宋体" w:hAnsi="宋体" w:eastAsia="宋体" w:cs="宋体"/>
                <w:color w:val="auto"/>
                <w:sz w:val="24"/>
                <w:szCs w:val="24"/>
                <w:highlight w:val="none"/>
                <w:lang w:val="en-US" w:eastAsia="zh-CN"/>
              </w:rPr>
              <w:t>人民医院</w:t>
            </w:r>
          </w:p>
        </w:tc>
        <w:tc>
          <w:tcPr>
            <w:tcW w:w="0" w:type="auto"/>
            <w:tcBorders>
              <w:top w:val="nil"/>
              <w:left w:val="nil"/>
              <w:bottom w:val="single" w:color="auto" w:sz="12" w:space="0"/>
              <w:right w:val="single" w:color="auto" w:sz="12"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以建设单位书面通知为准</w:t>
            </w:r>
          </w:p>
        </w:tc>
      </w:tr>
    </w:tbl>
    <w:p>
      <w:pPr>
        <w:pStyle w:val="21"/>
        <w:keepNext w:val="0"/>
        <w:keepLines w:val="0"/>
        <w:widowControl/>
        <w:suppressLineNumbers w:val="0"/>
        <w:spacing w:before="0" w:beforeAutospacing="0" w:after="0" w:afterAutospacing="0" w:line="520" w:lineRule="atLeast"/>
        <w:ind w:left="0" w:right="0" w:firstLine="562"/>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三、投标人资格要求</w:t>
      </w:r>
    </w:p>
    <w:p>
      <w:pPr>
        <w:pStyle w:val="21"/>
        <w:keepNext w:val="0"/>
        <w:keepLines w:val="0"/>
        <w:widowControl/>
        <w:suppressLineNumbers w:val="0"/>
        <w:spacing w:before="0" w:beforeAutospacing="0" w:after="0" w:afterAutospacing="0" w:line="520" w:lineRule="atLeast"/>
        <w:ind w:left="0" w:right="0" w:firstLine="482"/>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资质要求</w:t>
      </w:r>
      <w:r>
        <w:rPr>
          <w:rFonts w:hint="eastAsia" w:ascii="宋体" w:hAnsi="宋体" w:eastAsia="宋体" w:cs="宋体"/>
          <w:color w:val="auto"/>
          <w:sz w:val="24"/>
          <w:szCs w:val="24"/>
          <w:highlight w:val="none"/>
        </w:rPr>
        <w:t>：</w:t>
      </w:r>
    </w:p>
    <w:p>
      <w:pPr>
        <w:spacing w:line="360" w:lineRule="auto"/>
        <w:ind w:firstLine="47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val="en-US" w:eastAsia="zh-CN"/>
        </w:rPr>
        <w:t>为</w:t>
      </w:r>
      <w:r>
        <w:rPr>
          <w:rFonts w:hint="eastAsia" w:ascii="宋体" w:hAnsi="宋体" w:eastAsia="宋体" w:cs="宋体"/>
          <w:spacing w:val="-1"/>
          <w:sz w:val="24"/>
          <w:szCs w:val="24"/>
          <w:highlight w:val="none"/>
        </w:rPr>
        <w:t>独立法人</w:t>
      </w:r>
      <w:r>
        <w:rPr>
          <w:rFonts w:hint="eastAsia" w:ascii="宋体" w:hAnsi="宋体" w:eastAsia="宋体" w:cs="宋体"/>
          <w:spacing w:val="-1"/>
          <w:sz w:val="24"/>
          <w:szCs w:val="24"/>
          <w:highlight w:val="none"/>
          <w:lang w:val="en-US" w:eastAsia="zh-CN"/>
        </w:rPr>
        <w:t>且</w:t>
      </w:r>
      <w:r>
        <w:rPr>
          <w:rFonts w:hint="eastAsia" w:ascii="宋体" w:hAnsi="宋体" w:eastAsia="宋体" w:cs="宋体"/>
          <w:color w:val="auto"/>
          <w:sz w:val="24"/>
          <w:szCs w:val="24"/>
          <w:highlight w:val="none"/>
        </w:rPr>
        <w:t>满足以下要求的①或者②：</w:t>
      </w:r>
    </w:p>
    <w:p>
      <w:pPr>
        <w:spacing w:line="360" w:lineRule="auto"/>
        <w:ind w:firstLine="47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①制造商投标的，制造商须具有《中华人民共和国特种设备生产许可证》（电梯制造）-曳引驱动乘客电梯（含消防员电梯）资质（或仍在有效期内的原《中华人民共和国特种设备制造许可证》（电梯）-曳引式客梯C级以上资质）。 </w:t>
      </w:r>
    </w:p>
    <w:p>
      <w:pPr>
        <w:spacing w:line="360" w:lineRule="auto"/>
        <w:ind w:firstLine="470" w:firstLineChars="200"/>
        <w:rPr>
          <w:rFonts w:hint="eastAsia" w:ascii="宋体" w:hAnsi="宋体" w:eastAsia="宋体" w:cs="宋体"/>
          <w:highlight w:val="none"/>
        </w:rPr>
      </w:pPr>
      <w:r>
        <w:rPr>
          <w:rFonts w:hint="eastAsia" w:ascii="宋体" w:hAnsi="宋体" w:eastAsia="宋体" w:cs="宋体"/>
          <w:color w:val="auto"/>
          <w:sz w:val="24"/>
          <w:szCs w:val="24"/>
          <w:highlight w:val="none"/>
          <w:lang w:val="en-US" w:eastAsia="zh-CN"/>
        </w:rPr>
        <w:t>②代理/经销商投标的，须同时提供：1）电梯制造商的《中华人民共和国特种设备生产许可证》（电梯制造）-曳引驱动乘客电梯（含消防员电梯）资质（或仍在有效期内的原《中华人民共和国特种设备制造许可证》（电梯）-曳引式客梯C级以上资质）；2）电梯代理/经销商的《中华人民共和国特种设备生产许可证》许可项目包含电梯安装、修理（或提供仍在有效期内的原《中华人民共和国特种设备安装改造维修许可证》（电梯）-安装、维修C级及以上资质）；须具有制造商针对本项目的唯一授权书（提供授权书扫描件）；不允许同一品牌的电梯有多家代理商投标（HT-2货梯2除外）；</w:t>
      </w:r>
    </w:p>
    <w:p>
      <w:pPr>
        <w:pStyle w:val="21"/>
        <w:keepNext w:val="0"/>
        <w:keepLines w:val="0"/>
        <w:widowControl/>
        <w:suppressLineNumbers w:val="0"/>
        <w:shd w:val="clear" w:fill="FFFFFF"/>
        <w:spacing w:before="0" w:beforeAutospacing="0" w:after="0" w:afterAutospacing="0" w:line="520" w:lineRule="atLeast"/>
        <w:ind w:left="0" w:right="0" w:firstLine="482"/>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shd w:val="clear" w:fill="FFFFFF"/>
        </w:rPr>
        <w:t>其他要求</w:t>
      </w:r>
      <w:r>
        <w:rPr>
          <w:rFonts w:hint="eastAsia" w:ascii="宋体" w:hAnsi="宋体" w:eastAsia="宋体" w:cs="宋体"/>
          <w:color w:val="auto"/>
          <w:sz w:val="24"/>
          <w:szCs w:val="24"/>
          <w:highlight w:val="none"/>
          <w:shd w:val="clear" w:fill="FFFFFF"/>
        </w:rPr>
        <w:t>：</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1.与招标人存在利害关系可能影响招标公正性的法人、其他组织或者个人，不得参加投标；单位负责人为同一人或者存在控股、管理关系的不同单位，不得参加同一标段投标或者未划分标段的同一招标项目投标。</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2.投标人具有下列情形之一的，不得参与投标：</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（1）被铜陵市、县公共资源交易监管部门记不良行为记录累计分值在10分（含）-15分（不含），且最近一次不良行为记录公布日距开标日未超过3个月的；</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（2）被铜陵市、县公共资源交易监管部门记不良行为记录累计分值在15分（含）-20分（不含），且最近一次不良行为记录公布日距开标日未超过6个月的；</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（3）被铜陵市、县公共资源交易监管部门记不良行为记录累计分值达20分（含）以上，且最近一次不良行为记录公布日距开标日未超过12个月的。</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上述不良行为记录分值由招标人或代理机构在开标现场查询铜陵市公共资源交易监督管理局网站信用信息栏，具体分值等信息以开标当日“铜陵市（含县、区）市场竞争主体不良行为记录分值汇总表”为准。</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3.投标人具有下列情形之一的，不得推荐为中标候选人：</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（1）投标人被工商行政管理部门在全国企业信用信息公示系统中列入严重违法失信企业名单；</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（2）投标人或拟派项目负责人被最高人民法院在“信用中国”网站（www.creditchina.gov.cn）中列入失信被执行人名单；</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（3）投标人被国家税务总局在“信用中国”网站（www.creditchina.gov.cn）中列入重大税收违法案件当事人名单；</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（4）近三年内投标人、法定代表人（单位负责人）或拟派项目负责人在“中国裁判文书网”网站（wenshu.court.gov.cn）中被记录有行贿犯罪记录的。</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4.本次招标项目不允许联合体投标；资格审查采取资格后审进行。资格后审将在开标后由评委会审查。</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项目负责人（项目经理）：具有机电工程专业二级建造师注册执业资格，并注册于本单位；具有安全生产考核合格证B证。（提供相关证书复印件，以及社保部门开具的投标人为拟派项目经理自2022年1月1日以来任意1个月的社保缴纳证明）。</w:t>
      </w:r>
    </w:p>
    <w:p>
      <w:pPr>
        <w:pStyle w:val="21"/>
        <w:keepNext w:val="0"/>
        <w:keepLines w:val="0"/>
        <w:widowControl/>
        <w:suppressLineNumbers w:val="0"/>
        <w:shd w:val="clear" w:fill="FFFFFF"/>
        <w:spacing w:before="0" w:beforeAutospacing="0" w:after="0" w:afterAutospacing="0" w:line="520" w:lineRule="atLeast"/>
        <w:ind w:left="0" w:right="0" w:firstLine="562"/>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shd w:val="clear" w:fill="FFFFFF"/>
        </w:rPr>
        <w:t>四、招标文件的获取方式</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有招标内容均以全国公共资源交易平台（安徽•铜陵市）公布的该工程招标公告、附件、答疑为准，投标人自行下载，其它任何形式的内容不作为招标投标以及开标评标的依据。请各投标人注意该网站中建设工程“交易公告”、“补充公告”信息栏内的信息发布内容，如因投标人自身原因未了解公告、答疑等信息的，责任自负。</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 根据电子招投标的需要，请各潜在投标人在企业库登录系统注册登记并办理电子数字证书。具体方法详见全国公共资源交易平台（安徽•铜陵市）网址：ggzyjyzx.tl.gov.cn。</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3.此项目为电子招投标项目，投标人须从系统递交加密后的电子投标文件，开标当天投标单位应按照招标文件的要求在规定时间内完成投标文件的解密工作。</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4.本次招标项目不收取招标文件及有关招标资料工本费。</w:t>
      </w:r>
    </w:p>
    <w:p>
      <w:pPr>
        <w:pStyle w:val="21"/>
        <w:keepNext w:val="0"/>
        <w:keepLines w:val="0"/>
        <w:widowControl/>
        <w:suppressLineNumbers w:val="0"/>
        <w:spacing w:before="0" w:beforeAutospacing="0" w:after="0" w:afterAutospacing="0" w:line="520" w:lineRule="atLeast"/>
        <w:ind w:left="0" w:right="0" w:firstLine="562"/>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五、发布公告的媒体</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本招标公告同时在安徽省公共资源交易监管网、全国公共资源交易平台（安徽•铜陵市）发布。</w:t>
      </w:r>
    </w:p>
    <w:p>
      <w:pPr>
        <w:pStyle w:val="21"/>
        <w:keepNext w:val="0"/>
        <w:keepLines w:val="0"/>
        <w:widowControl/>
        <w:suppressLineNumbers w:val="0"/>
        <w:spacing w:before="0" w:beforeAutospacing="0" w:after="0" w:afterAutospacing="0" w:line="520" w:lineRule="atLeast"/>
        <w:ind w:left="0" w:right="0" w:firstLine="48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六、重要提示</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1.本项目</w:t>
      </w:r>
      <w:r>
        <w:rPr>
          <w:rFonts w:hint="eastAsia" w:cs="宋体"/>
          <w:color w:val="auto"/>
          <w:sz w:val="24"/>
          <w:szCs w:val="24"/>
          <w:highlight w:val="none"/>
          <w:lang w:val="en-US" w:eastAsia="zh-CN"/>
        </w:rPr>
        <w:t>不</w:t>
      </w:r>
      <w:r>
        <w:rPr>
          <w:rFonts w:hint="eastAsia" w:ascii="宋体" w:hAnsi="宋体" w:eastAsia="宋体" w:cs="宋体"/>
          <w:color w:val="auto"/>
          <w:sz w:val="24"/>
          <w:szCs w:val="24"/>
          <w:highlight w:val="none"/>
          <w:lang w:val="en-US" w:eastAsia="zh-CN"/>
        </w:rPr>
        <w:t>启用企业</w:t>
      </w:r>
      <w:r>
        <w:rPr>
          <w:rFonts w:hint="eastAsia" w:cs="宋体"/>
          <w:color w:val="auto"/>
          <w:sz w:val="24"/>
          <w:szCs w:val="24"/>
          <w:highlight w:val="none"/>
          <w:lang w:val="en-US" w:eastAsia="zh-CN"/>
        </w:rPr>
        <w:t>信用分</w:t>
      </w:r>
      <w:r>
        <w:rPr>
          <w:rFonts w:hint="eastAsia" w:ascii="宋体" w:hAnsi="宋体" w:eastAsia="宋体" w:cs="宋体"/>
          <w:color w:val="auto"/>
          <w:sz w:val="24"/>
          <w:szCs w:val="24"/>
          <w:highlight w:val="none"/>
          <w:lang w:val="en-US" w:eastAsia="zh-CN"/>
        </w:rPr>
        <w:t>。</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2.为落实市县疫情防控期间公共资源交易工作相关文件精神，保证疫情得到有效控制，防止人员聚集带来的疫情扩散，本次开标活动谢绝潜在投标人到达开标现场。</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请各投标人按照本公告规定的投标截止时间前，上传投标文件、提交投标保证金，并在60分钟内远程解密投标文件（以交易系统时间为准）。未按规定时间解密造成评标委员会无法评审的，该投标文件按无效标处理。</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4.在评审环节，评标委员会询标及否决通知均线上完成，请各投标人关注系统通知，并在30分钟内在系统进行回复，逾期未回复的，视同认可该结果。</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5.如项目需抽取投标报价算术平均值及评标参考值，在开标现场由县公证处、县公共资源交易中心、招标人、招标代理四方人员共同见证抽取，结果在预中标公示环节公示。</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本项目采用网上不见面开标。不见面开标大厅登录方式：铜陵市公共资源交易中心网站（http://ggzyjyzx.tl.gov.cn），选择不见面开标大厅登录。具体操作详见中心网站下载专区的《铜陵市不见面开标大厅-操作手册（投标人）》。</w:t>
      </w:r>
    </w:p>
    <w:p>
      <w:pPr>
        <w:pStyle w:val="21"/>
        <w:keepNext w:val="0"/>
        <w:keepLines w:val="0"/>
        <w:widowControl/>
        <w:suppressLineNumbers w:val="0"/>
        <w:spacing w:before="0" w:beforeAutospacing="0" w:after="120" w:afterAutospacing="0" w:line="520" w:lineRule="atLeast"/>
        <w:ind w:left="0" w:right="0" w:firstLine="482"/>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七、联系方式</w:t>
      </w:r>
    </w:p>
    <w:tbl>
      <w:tblPr>
        <w:tblStyle w:val="24"/>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853"/>
        <w:gridCol w:w="50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25" w:hRule="atLeast"/>
          <w:jc w:val="center"/>
        </w:trPr>
        <w:tc>
          <w:tcPr>
            <w:tcW w:w="2461" w:type="pct"/>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pPr>
              <w:pStyle w:val="21"/>
              <w:keepNext w:val="0"/>
              <w:keepLines w:val="0"/>
              <w:widowControl/>
              <w:suppressLineNumbers w:val="0"/>
              <w:spacing w:before="120" w:beforeAutospacing="0" w:after="0" w:afterAutospacing="0" w:line="360" w:lineRule="auto"/>
              <w:ind w:left="0" w:right="0"/>
              <w:rPr>
                <w:rFonts w:hint="eastAsia" w:ascii="宋体" w:hAnsi="宋体" w:eastAsia="宋体" w:cs="宋体"/>
                <w:color w:val="auto"/>
                <w:sz w:val="24"/>
                <w:szCs w:val="24"/>
                <w:highlight w:val="none"/>
                <w:shd w:val="clear" w:fill="FFFFFF"/>
                <w:lang w:val="en-US" w:eastAsia="zh-CN"/>
              </w:rPr>
            </w:pPr>
            <w:r>
              <w:rPr>
                <w:rFonts w:hint="eastAsia" w:ascii="宋体" w:hAnsi="宋体" w:eastAsia="宋体" w:cs="宋体"/>
                <w:color w:val="auto"/>
                <w:sz w:val="24"/>
                <w:szCs w:val="24"/>
                <w:highlight w:val="none"/>
                <w:shd w:val="clear" w:fill="FFFFFF"/>
              </w:rPr>
              <w:t>招 标 人：</w:t>
            </w:r>
            <w:r>
              <w:rPr>
                <w:rFonts w:hint="eastAsia" w:ascii="宋体" w:hAnsi="宋体" w:eastAsia="宋体" w:cs="宋体"/>
                <w:color w:val="auto"/>
                <w:sz w:val="24"/>
                <w:szCs w:val="24"/>
                <w:highlight w:val="none"/>
                <w:shd w:val="clear" w:fill="FFFFFF"/>
                <w:lang w:val="en-US" w:eastAsia="zh-CN"/>
              </w:rPr>
              <w:t>枞阳县建设投资有限公司</w:t>
            </w:r>
          </w:p>
          <w:p>
            <w:pPr>
              <w:pStyle w:val="21"/>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地  址：枞阳县枞阳镇</w:t>
            </w:r>
          </w:p>
          <w:p>
            <w:pPr>
              <w:pStyle w:val="21"/>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邮  编：246700</w:t>
            </w:r>
          </w:p>
          <w:p>
            <w:pPr>
              <w:pStyle w:val="21"/>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联 系 人：</w:t>
            </w:r>
            <w:r>
              <w:rPr>
                <w:rFonts w:hint="eastAsia" w:ascii="宋体" w:hAnsi="宋体" w:eastAsia="宋体" w:cs="宋体"/>
                <w:color w:val="auto"/>
                <w:sz w:val="24"/>
                <w:szCs w:val="24"/>
                <w:highlight w:val="none"/>
                <w:shd w:val="clear" w:fill="FFFFFF"/>
                <w:lang w:val="en-US" w:eastAsia="zh-CN"/>
              </w:rPr>
              <w:t>何主任</w:t>
            </w:r>
          </w:p>
          <w:p>
            <w:pPr>
              <w:pStyle w:val="21"/>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电  话：</w:t>
            </w:r>
            <w:r>
              <w:rPr>
                <w:rFonts w:hint="eastAsia" w:ascii="宋体" w:hAnsi="宋体" w:eastAsia="宋体" w:cs="宋体"/>
                <w:color w:val="auto"/>
                <w:sz w:val="24"/>
                <w:szCs w:val="24"/>
                <w:highlight w:val="none"/>
                <w:shd w:val="clear" w:fill="FFFFFF"/>
                <w:lang w:val="en-US" w:eastAsia="zh-CN"/>
              </w:rPr>
              <w:t>13855630169</w:t>
            </w:r>
          </w:p>
        </w:tc>
        <w:tc>
          <w:tcPr>
            <w:tcW w:w="2538"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1"/>
              <w:keepNext w:val="0"/>
              <w:keepLines w:val="0"/>
              <w:widowControl/>
              <w:suppressLineNumbers w:val="0"/>
              <w:spacing w:before="120" w:beforeAutospacing="0" w:after="0" w:afterAutospacing="0" w:line="36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招标代理人：安徽安天利信工程管理股份有限公司</w:t>
            </w:r>
          </w:p>
          <w:p>
            <w:pPr>
              <w:pStyle w:val="21"/>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4"/>
                <w:szCs w:val="24"/>
                <w:highlight w:val="none"/>
                <w:shd w:val="clear" w:fill="FFFFFF"/>
              </w:rPr>
            </w:pPr>
            <w:r>
              <w:rPr>
                <w:rFonts w:hint="eastAsia" w:ascii="宋体" w:hAnsi="宋体" w:eastAsia="宋体" w:cs="宋体"/>
                <w:color w:val="auto"/>
                <w:sz w:val="24"/>
                <w:szCs w:val="24"/>
                <w:highlight w:val="none"/>
                <w:shd w:val="clear" w:fill="FFFFFF"/>
              </w:rPr>
              <w:t>地  址：安徽省合肥市祁门路1779号国贸大厦</w:t>
            </w:r>
          </w:p>
          <w:p>
            <w:pPr>
              <w:pStyle w:val="21"/>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shd w:val="clear" w:fill="FFFFFF"/>
              </w:rPr>
              <w:t>邮  编：</w:t>
            </w:r>
            <w:r>
              <w:rPr>
                <w:rFonts w:hint="eastAsia" w:ascii="宋体" w:hAnsi="宋体" w:eastAsia="宋体" w:cs="宋体"/>
                <w:color w:val="auto"/>
                <w:sz w:val="24"/>
                <w:szCs w:val="24"/>
                <w:highlight w:val="none"/>
                <w:shd w:val="clear" w:fill="FFFFFF"/>
                <w:lang w:val="en-US" w:eastAsia="zh-CN"/>
              </w:rPr>
              <w:t>235300</w:t>
            </w:r>
          </w:p>
          <w:p>
            <w:pPr>
              <w:pStyle w:val="21"/>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shd w:val="clear" w:fill="FFFFFF"/>
              </w:rPr>
              <w:t>联 系 人：</w:t>
            </w:r>
            <w:r>
              <w:rPr>
                <w:rFonts w:hint="eastAsia" w:ascii="宋体" w:hAnsi="宋体" w:eastAsia="宋体" w:cs="宋体"/>
                <w:color w:val="auto"/>
                <w:sz w:val="24"/>
                <w:szCs w:val="24"/>
                <w:highlight w:val="none"/>
                <w:shd w:val="clear" w:fill="FFFFFF"/>
                <w:lang w:val="en-US" w:eastAsia="zh-CN"/>
              </w:rPr>
              <w:t>阚工、洪工</w:t>
            </w:r>
          </w:p>
          <w:p>
            <w:pPr>
              <w:pStyle w:val="21"/>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电  话：</w:t>
            </w:r>
            <w:r>
              <w:rPr>
                <w:rFonts w:hint="eastAsia" w:ascii="宋体" w:hAnsi="宋体" w:eastAsia="宋体" w:cs="宋体"/>
                <w:color w:val="auto"/>
                <w:sz w:val="24"/>
                <w:szCs w:val="24"/>
                <w:highlight w:val="none"/>
                <w:shd w:val="clear" w:fill="FFFFFF"/>
                <w:lang w:val="en-US" w:eastAsia="zh-CN"/>
              </w:rPr>
              <w:t>0551-63736257、18655175225</w:t>
            </w:r>
          </w:p>
        </w:tc>
      </w:tr>
    </w:tbl>
    <w:p>
      <w:pPr>
        <w:pStyle w:val="21"/>
        <w:keepNext w:val="0"/>
        <w:keepLines w:val="0"/>
        <w:widowControl/>
        <w:suppressLineNumbers w:val="0"/>
        <w:spacing w:before="0" w:beforeAutospacing="0" w:after="120" w:afterAutospacing="0" w:line="520" w:lineRule="atLeast"/>
        <w:ind w:left="0" w:right="0" w:firstLine="562"/>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八、投标保证金</w:t>
      </w:r>
    </w:p>
    <w:p>
      <w:pPr>
        <w:pStyle w:val="21"/>
        <w:keepNext w:val="0"/>
        <w:keepLines w:val="0"/>
        <w:widowControl/>
        <w:suppressLineNumbers w:val="0"/>
        <w:spacing w:before="0" w:beforeAutospacing="0" w:after="120" w:afterAutospacing="0" w:line="520" w:lineRule="atLeast"/>
        <w:ind w:left="0" w:right="0" w:firstLine="482"/>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本项目投标保证金金额为：</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万元，可用转账、保函、保证保险等方式缴纳，不接受现金形式。本项目支持信用保函，具体方法见《关于在房屋建筑和市政基础设施工程招投标活动中试行信用保函的通知》（铜公管〔2021〕65号）。</w:t>
      </w:r>
    </w:p>
    <w:tbl>
      <w:tblPr>
        <w:tblStyle w:val="24"/>
        <w:tblW w:w="805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744"/>
        <w:gridCol w:w="630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33" w:hRule="atLeast"/>
          <w:jc w:val="center"/>
        </w:trPr>
        <w:tc>
          <w:tcPr>
            <w:tcW w:w="194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户  名</w:t>
            </w:r>
          </w:p>
        </w:tc>
        <w:tc>
          <w:tcPr>
            <w:tcW w:w="7717" w:type="dxa"/>
            <w:tcBorders>
              <w:top w:val="single" w:color="auto" w:sz="8" w:space="0"/>
              <w:left w:val="nil"/>
              <w:bottom w:val="single" w:color="auto" w:sz="8"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rPr>
                <w:rFonts w:hint="eastAsia" w:ascii="宋体" w:hAnsi="宋体" w:eastAsia="宋体" w:cs="宋体"/>
                <w:color w:val="auto"/>
                <w:sz w:val="24"/>
                <w:szCs w:val="24"/>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33" w:hRule="atLeast"/>
          <w:jc w:val="center"/>
        </w:trPr>
        <w:tc>
          <w:tcPr>
            <w:tcW w:w="1948" w:type="dxa"/>
            <w:tcBorders>
              <w:top w:val="nil"/>
              <w:left w:val="single" w:color="auto" w:sz="8" w:space="0"/>
              <w:bottom w:val="single" w:color="auto" w:sz="8"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  号</w:t>
            </w:r>
          </w:p>
        </w:tc>
        <w:tc>
          <w:tcPr>
            <w:tcW w:w="7717" w:type="dxa"/>
            <w:tcBorders>
              <w:top w:val="nil"/>
              <w:left w:val="nil"/>
              <w:bottom w:val="single" w:color="auto" w:sz="8"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rPr>
                <w:rFonts w:hint="eastAsia" w:ascii="宋体" w:hAnsi="宋体" w:eastAsia="宋体" w:cs="宋体"/>
                <w:color w:val="auto"/>
                <w:sz w:val="24"/>
                <w:szCs w:val="24"/>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33" w:hRule="atLeast"/>
          <w:jc w:val="center"/>
        </w:trPr>
        <w:tc>
          <w:tcPr>
            <w:tcW w:w="1948" w:type="dxa"/>
            <w:tcBorders>
              <w:top w:val="nil"/>
              <w:left w:val="single" w:color="auto" w:sz="8" w:space="0"/>
              <w:bottom w:val="single" w:color="auto" w:sz="8"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标段编号</w:t>
            </w:r>
          </w:p>
        </w:tc>
        <w:tc>
          <w:tcPr>
            <w:tcW w:w="7717" w:type="dxa"/>
            <w:tcBorders>
              <w:top w:val="nil"/>
              <w:left w:val="nil"/>
              <w:bottom w:val="single" w:color="auto" w:sz="8"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rPr>
                <w:rFonts w:hint="eastAsia" w:ascii="宋体" w:hAnsi="宋体" w:eastAsia="宋体" w:cs="宋体"/>
                <w:color w:val="auto"/>
                <w:sz w:val="24"/>
                <w:szCs w:val="24"/>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33" w:hRule="atLeast"/>
          <w:jc w:val="center"/>
        </w:trPr>
        <w:tc>
          <w:tcPr>
            <w:tcW w:w="1948" w:type="dxa"/>
            <w:tcBorders>
              <w:top w:val="nil"/>
              <w:left w:val="single" w:color="auto" w:sz="8" w:space="0"/>
              <w:bottom w:val="single" w:color="auto" w:sz="8"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c>
          <w:tcPr>
            <w:tcW w:w="7717" w:type="dxa"/>
            <w:tcBorders>
              <w:top w:val="nil"/>
              <w:left w:val="nil"/>
              <w:bottom w:val="single" w:color="auto" w:sz="8" w:space="0"/>
              <w:right w:val="single" w:color="auto" w:sz="8" w:space="0"/>
            </w:tcBorders>
            <w:shd w:val="clear" w:color="auto" w:fill="auto"/>
            <w:vAlign w:val="center"/>
          </w:tcPr>
          <w:p>
            <w:pPr>
              <w:pStyle w:val="21"/>
              <w:keepNext w:val="0"/>
              <w:keepLines w:val="0"/>
              <w:widowControl/>
              <w:suppressLineNumbers w:val="0"/>
              <w:spacing w:before="0" w:beforeAutospacing="0" w:after="0" w:afterAutospacing="0" w:line="12" w:lineRule="atLeast"/>
              <w:ind w:left="0" w:right="0"/>
              <w:rPr>
                <w:rFonts w:hint="eastAsia" w:ascii="宋体" w:hAnsi="宋体" w:eastAsia="宋体" w:cs="宋体"/>
                <w:color w:val="auto"/>
                <w:sz w:val="24"/>
                <w:szCs w:val="24"/>
                <w:highlight w:val="none"/>
              </w:rPr>
            </w:pPr>
          </w:p>
        </w:tc>
      </w:tr>
    </w:tbl>
    <w:p>
      <w:pPr>
        <w:pStyle w:val="21"/>
        <w:keepNext w:val="0"/>
        <w:keepLines w:val="0"/>
        <w:widowControl/>
        <w:suppressLineNumbers w:val="0"/>
        <w:spacing w:before="0" w:beforeAutospacing="0" w:after="0" w:afterAutospacing="0" w:line="520" w:lineRule="atLeast"/>
        <w:ind w:left="0" w:right="0" w:firstLine="562"/>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九、附件</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招标文件、招标货物清单及设备采购图纸等</w:t>
      </w:r>
    </w:p>
    <w:p>
      <w:pPr>
        <w:pStyle w:val="21"/>
        <w:keepNext w:val="0"/>
        <w:keepLines w:val="0"/>
        <w:widowControl/>
        <w:suppressLineNumbers w:val="0"/>
        <w:spacing w:before="0" w:beforeAutospacing="0" w:after="0" w:afterAutospacing="0" w:line="520" w:lineRule="atLeast"/>
        <w:ind w:left="0" w:right="0" w:firstLine="562"/>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十、投标截止时间及地点、开标时间及地点</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1.招标文件获取时间：起始为公告挂网时间，终止为开标时间。</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2.递交投标文件截止（开标）时间为：2022/</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09:00</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3.递交投标文件（开标）地点为：三号开标厅(一楼)_枞阳</w:t>
      </w:r>
    </w:p>
    <w:p>
      <w:pPr>
        <w:pStyle w:val="4"/>
        <w:rPr>
          <w:rFonts w:hint="eastAsia" w:ascii="宋体" w:hAnsi="宋体" w:eastAsia="宋体" w:cs="宋体"/>
          <w:color w:val="auto"/>
          <w:sz w:val="24"/>
          <w:szCs w:val="24"/>
          <w:highlight w:val="none"/>
        </w:rPr>
      </w:pPr>
    </w:p>
    <w:p>
      <w:pPr>
        <w:rPr>
          <w:rFonts w:hint="eastAsia" w:ascii="宋体" w:hAnsi="宋体" w:eastAsia="宋体" w:cs="宋体"/>
          <w:color w:val="auto"/>
          <w:highlight w:val="none"/>
        </w:rPr>
      </w:pPr>
    </w:p>
    <w:p>
      <w:pPr>
        <w:pStyle w:val="4"/>
        <w:rPr>
          <w:rFonts w:hint="eastAsia" w:ascii="宋体" w:hAnsi="宋体" w:eastAsia="宋体" w:cs="宋体"/>
          <w:color w:val="auto"/>
          <w:highlight w:val="none"/>
        </w:rPr>
      </w:pPr>
      <w:bookmarkStart w:id="10" w:name="_Toc5097"/>
      <w:r>
        <w:rPr>
          <w:rFonts w:hint="eastAsia" w:ascii="宋体" w:hAnsi="宋体" w:eastAsia="宋体" w:cs="宋体"/>
          <w:color w:val="auto"/>
          <w:highlight w:val="none"/>
        </w:rPr>
        <w:t>第二章</w:t>
      </w:r>
      <w:r>
        <w:rPr>
          <w:rFonts w:hint="eastAsia" w:ascii="宋体" w:hAnsi="宋体" w:eastAsia="宋体" w:cs="宋体"/>
          <w:color w:val="auto"/>
          <w:highlight w:val="none"/>
          <w:lang w:val="en-US"/>
        </w:rPr>
        <w:t xml:space="preserve">  </w:t>
      </w:r>
      <w:r>
        <w:rPr>
          <w:rFonts w:hint="eastAsia" w:ascii="宋体" w:hAnsi="宋体" w:eastAsia="宋体" w:cs="宋体"/>
          <w:color w:val="auto"/>
          <w:highlight w:val="none"/>
        </w:rPr>
        <w:t>投标须知前附表</w:t>
      </w:r>
      <w:bookmarkEnd w:id="8"/>
      <w:bookmarkEnd w:id="9"/>
      <w:bookmarkEnd w:id="10"/>
    </w:p>
    <w:tbl>
      <w:tblPr>
        <w:tblStyle w:val="24"/>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99"/>
        <w:gridCol w:w="1770"/>
        <w:gridCol w:w="7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414" w:type="pct"/>
            <w:vAlign w:val="center"/>
          </w:tcPr>
          <w:p>
            <w:pPr>
              <w:pStyle w:val="44"/>
              <w:spacing w:before="48"/>
              <w:ind w:left="189" w:right="12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917" w:type="pct"/>
            <w:vAlign w:val="center"/>
          </w:tcPr>
          <w:p>
            <w:pPr>
              <w:pStyle w:val="44"/>
              <w:spacing w:before="48"/>
              <w:ind w:left="184" w:right="177"/>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名称</w:t>
            </w:r>
          </w:p>
        </w:tc>
        <w:tc>
          <w:tcPr>
            <w:tcW w:w="3667" w:type="pct"/>
            <w:vAlign w:val="center"/>
          </w:tcPr>
          <w:p>
            <w:pPr>
              <w:pStyle w:val="44"/>
              <w:spacing w:before="48"/>
              <w:ind w:right="3467"/>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7"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1</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工程名称</w:t>
            </w:r>
          </w:p>
        </w:tc>
        <w:tc>
          <w:tcPr>
            <w:tcW w:w="3667" w:type="pct"/>
            <w:vAlign w:val="center"/>
          </w:tcPr>
          <w:p>
            <w:pPr>
              <w:pStyle w:val="44"/>
              <w:spacing w:before="158"/>
              <w:ind w:left="108"/>
              <w:rPr>
                <w:rFonts w:hint="eastAsia" w:ascii="宋体" w:hAnsi="宋体" w:eastAsia="宋体" w:cs="宋体"/>
                <w:color w:val="auto"/>
                <w:sz w:val="24"/>
                <w:highlight w:val="none"/>
                <w:lang w:eastAsia="zh-CN"/>
              </w:rPr>
            </w:pPr>
            <w:r>
              <w:rPr>
                <w:rFonts w:hint="eastAsia" w:cs="宋体"/>
                <w:bCs/>
                <w:color w:val="auto"/>
                <w:sz w:val="24"/>
                <w:highlight w:val="none"/>
                <w:lang w:eastAsia="zh-CN"/>
              </w:rPr>
              <w:t>枞阳县人民医院外科综合大楼电梯采购与安装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2</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建设地点</w:t>
            </w:r>
          </w:p>
        </w:tc>
        <w:tc>
          <w:tcPr>
            <w:tcW w:w="3667" w:type="pct"/>
            <w:vAlign w:val="center"/>
          </w:tcPr>
          <w:p>
            <w:pPr>
              <w:pStyle w:val="44"/>
              <w:spacing w:before="48"/>
              <w:ind w:left="108"/>
              <w:rPr>
                <w:rFonts w:hint="eastAsia" w:ascii="宋体" w:hAnsi="宋体" w:eastAsia="宋体" w:cs="宋体"/>
                <w:color w:val="auto"/>
                <w:sz w:val="24"/>
                <w:highlight w:val="none"/>
              </w:rPr>
            </w:pPr>
            <w:r>
              <w:rPr>
                <w:rFonts w:hint="eastAsia" w:ascii="宋体" w:hAnsi="宋体" w:eastAsia="宋体" w:cs="宋体"/>
                <w:bCs/>
                <w:color w:val="auto"/>
                <w:sz w:val="24"/>
                <w:highlight w:val="none"/>
                <w:lang w:eastAsia="zh-CN"/>
              </w:rPr>
              <w:t>枞阳县人民医院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3</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招标人</w:t>
            </w:r>
          </w:p>
        </w:tc>
        <w:tc>
          <w:tcPr>
            <w:tcW w:w="3667" w:type="pct"/>
            <w:vAlign w:val="center"/>
          </w:tcPr>
          <w:p>
            <w:pPr>
              <w:pStyle w:val="44"/>
              <w:spacing w:before="48"/>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枞阳县建设投资有限公司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4</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工程设计单位</w:t>
            </w:r>
          </w:p>
        </w:tc>
        <w:tc>
          <w:tcPr>
            <w:tcW w:w="3667" w:type="pct"/>
            <w:vAlign w:val="center"/>
          </w:tcPr>
          <w:p>
            <w:pPr>
              <w:pStyle w:val="44"/>
              <w:spacing w:before="4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合肥工业大学设计院（集团）有限公司 </w:t>
            </w:r>
          </w:p>
          <w:p>
            <w:pPr>
              <w:pStyle w:val="44"/>
              <w:spacing w:before="48"/>
              <w:rPr>
                <w:rFonts w:hint="eastAsia" w:ascii="宋体" w:hAnsi="宋体" w:eastAsia="宋体" w:cs="宋体"/>
                <w:color w:val="auto"/>
                <w:sz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3"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5</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招标范围</w:t>
            </w:r>
          </w:p>
        </w:tc>
        <w:tc>
          <w:tcPr>
            <w:tcW w:w="3667" w:type="pct"/>
            <w:vAlign w:val="center"/>
          </w:tcPr>
          <w:p>
            <w:pPr>
              <w:pStyle w:val="44"/>
              <w:ind w:left="108" w:right="184"/>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图纸设计范围</w:t>
            </w:r>
          </w:p>
          <w:p>
            <w:pPr>
              <w:pStyle w:val="44"/>
              <w:ind w:left="108" w:right="184"/>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其他说明：招标文件、补充答疑文件等全部内容。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6</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承包方式</w:t>
            </w:r>
          </w:p>
        </w:tc>
        <w:tc>
          <w:tcPr>
            <w:tcW w:w="3667" w:type="pct"/>
            <w:vAlign w:val="center"/>
          </w:tcPr>
          <w:p>
            <w:pPr>
              <w:pStyle w:val="44"/>
              <w:spacing w:before="11"/>
              <w:ind w:left="108"/>
              <w:rPr>
                <w:rFonts w:hint="eastAsia" w:ascii="宋体" w:hAnsi="宋体" w:eastAsia="宋体" w:cs="宋体"/>
                <w:color w:val="auto"/>
                <w:sz w:val="24"/>
                <w:highlight w:val="none"/>
              </w:rPr>
            </w:pPr>
            <w:r>
              <w:rPr>
                <w:rFonts w:hint="eastAsia" w:ascii="宋体" w:hAnsi="宋体" w:eastAsia="宋体" w:cs="宋体"/>
                <w:color w:val="auto"/>
                <w:highlight w:val="none"/>
              </w:rPr>
              <w:drawing>
                <wp:inline distT="0" distB="0" distL="0" distR="0">
                  <wp:extent cx="118110" cy="117475"/>
                  <wp:effectExtent l="0" t="0" r="8890" b="9525"/>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12"/>
                          <a:stretch>
                            <a:fillRect/>
                          </a:stretch>
                        </pic:blipFill>
                        <pic:spPr>
                          <a:xfrm>
                            <a:off x="0" y="0"/>
                            <a:ext cx="118719" cy="117805"/>
                          </a:xfrm>
                          <a:prstGeom prst="rect">
                            <a:avLst/>
                          </a:prstGeom>
                        </pic:spPr>
                      </pic:pic>
                    </a:graphicData>
                  </a:graphic>
                </wp:inline>
              </w:drawing>
            </w:r>
            <w:r>
              <w:rPr>
                <w:rFonts w:hint="eastAsia" w:ascii="宋体" w:hAnsi="宋体" w:eastAsia="宋体" w:cs="宋体"/>
                <w:color w:val="auto"/>
                <w:spacing w:val="-5"/>
                <w:sz w:val="24"/>
                <w:szCs w:val="24"/>
                <w:highlight w:val="none"/>
                <w14:textOutline w14:w="4354" w14:cap="flat" w14:cmpd="sng">
                  <w14:solidFill>
                    <w14:srgbClr w14:val="000000"/>
                  </w14:solidFill>
                  <w14:prstDash w14:val="solid"/>
                  <w14:miter w14:val="0"/>
                </w14:textOutline>
              </w:rPr>
              <w:t>其他专业承包</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（包工、包料、包安全、包质量）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8" w:hRule="exac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7</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计价方式</w:t>
            </w:r>
          </w:p>
        </w:tc>
        <w:tc>
          <w:tcPr>
            <w:tcW w:w="3667" w:type="pct"/>
            <w:vAlign w:val="center"/>
          </w:tcPr>
          <w:p>
            <w:pPr>
              <w:pStyle w:val="44"/>
              <w:spacing w:before="52"/>
              <w:ind w:left="108"/>
              <w:rPr>
                <w:rFonts w:hint="eastAsia" w:ascii="宋体" w:hAnsi="宋体" w:eastAsia="宋体" w:cs="宋体"/>
                <w:color w:val="auto"/>
                <w:sz w:val="24"/>
                <w:highlight w:val="none"/>
              </w:rPr>
            </w:pPr>
            <w:r>
              <w:rPr>
                <w:rFonts w:hint="eastAsia" w:ascii="宋体" w:hAnsi="宋体" w:eastAsia="宋体" w:cs="宋体"/>
                <w:color w:val="auto"/>
                <w:spacing w:val="-4"/>
                <w:sz w:val="24"/>
                <w:szCs w:val="24"/>
                <w:highlight w:val="none"/>
              </w:rPr>
              <w:t>采用市场全费用综合单价报价法（包括供货、运输、装卸、安装、</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
                <w:sz w:val="24"/>
                <w:szCs w:val="24"/>
                <w:highlight w:val="none"/>
              </w:rPr>
              <w:t>调试、培训、相关部门检测验收合格准许运行、维保及售后服务</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5"/>
                <w:sz w:val="24"/>
                <w:szCs w:val="24"/>
                <w:highlight w:val="none"/>
              </w:rPr>
              <w:t>等、以及合同期内各项措施费用以及风险费用、检测费、管理费、</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利润、税金等所需的一切费用）。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exac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8</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工程工期</w:t>
            </w:r>
          </w:p>
        </w:tc>
        <w:tc>
          <w:tcPr>
            <w:tcW w:w="3667" w:type="pct"/>
            <w:vAlign w:val="center"/>
          </w:tcPr>
          <w:p>
            <w:pPr>
              <w:pStyle w:val="44"/>
              <w:spacing w:before="48"/>
              <w:ind w:left="108"/>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合同签订后并接到</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通知之日起</w:t>
            </w:r>
            <w:r>
              <w:rPr>
                <w:rFonts w:hint="eastAsia" w:ascii="宋体" w:hAnsi="宋体" w:eastAsia="宋体" w:cs="宋体"/>
                <w:color w:val="auto"/>
                <w:sz w:val="24"/>
                <w:szCs w:val="24"/>
                <w:highlight w:val="none"/>
                <w:lang w:val="en-US" w:eastAsia="zh-CN"/>
              </w:rPr>
              <w:t>120</w:t>
            </w:r>
            <w:r>
              <w:rPr>
                <w:rFonts w:hint="eastAsia" w:ascii="宋体" w:hAnsi="宋体" w:eastAsia="宋体" w:cs="宋体"/>
                <w:color w:val="auto"/>
                <w:sz w:val="24"/>
                <w:szCs w:val="24"/>
                <w:highlight w:val="none"/>
              </w:rPr>
              <w:t>日内交货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安装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调试完毕。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9</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质量标准要求</w:t>
            </w:r>
          </w:p>
        </w:tc>
        <w:tc>
          <w:tcPr>
            <w:tcW w:w="3667" w:type="pct"/>
            <w:vAlign w:val="center"/>
          </w:tcPr>
          <w:p>
            <w:pPr>
              <w:pStyle w:val="44"/>
              <w:spacing w:before="7"/>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质量标准：合格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10</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eastAsia="zh-CN" w:bidi="ar-SA"/>
              </w:rPr>
            </w:pPr>
            <w:r>
              <w:rPr>
                <w:rFonts w:hint="eastAsia" w:ascii="宋体" w:hAnsi="宋体" w:eastAsia="宋体" w:cs="宋体"/>
                <w:color w:val="auto"/>
                <w:sz w:val="24"/>
                <w:szCs w:val="21"/>
                <w:highlight w:val="none"/>
                <w:lang w:val="en-US" w:eastAsia="zh-CN" w:bidi="ar-SA"/>
              </w:rPr>
              <w:t>暂列金</w:t>
            </w:r>
          </w:p>
        </w:tc>
        <w:tc>
          <w:tcPr>
            <w:tcW w:w="3667" w:type="pct"/>
            <w:vAlign w:val="center"/>
          </w:tcPr>
          <w:p>
            <w:pPr>
              <w:pStyle w:val="44"/>
              <w:ind w:left="108"/>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11</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评标定标办法</w:t>
            </w:r>
          </w:p>
        </w:tc>
        <w:tc>
          <w:tcPr>
            <w:tcW w:w="3667" w:type="pct"/>
            <w:vAlign w:val="center"/>
          </w:tcPr>
          <w:p>
            <w:pPr>
              <w:pStyle w:val="44"/>
              <w:spacing w:before="7"/>
              <w:ind w:left="108"/>
              <w:rPr>
                <w:rFonts w:hint="eastAsia" w:ascii="宋体" w:hAnsi="宋体" w:eastAsia="宋体" w:cs="宋体"/>
                <w:b/>
                <w:color w:val="auto"/>
                <w:sz w:val="24"/>
                <w:highlight w:val="none"/>
              </w:rPr>
            </w:pPr>
            <w:r>
              <w:rPr>
                <w:rFonts w:hint="eastAsia" w:ascii="宋体" w:hAnsi="宋体" w:eastAsia="宋体" w:cs="宋体"/>
                <w:color w:val="auto"/>
                <w:sz w:val="24"/>
                <w:highlight w:val="none"/>
                <w:u w:val="single"/>
              </w:rPr>
              <w:t>综合评估法。</w:t>
            </w:r>
            <w:r>
              <w:rPr>
                <w:rFonts w:hint="eastAsia" w:ascii="宋体" w:hAnsi="宋体" w:eastAsia="宋体" w:cs="宋体"/>
                <w:color w:val="auto"/>
                <w:sz w:val="24"/>
                <w:highlight w:val="none"/>
              </w:rPr>
              <w:t>本项目采用网上电子开评标方式</w:t>
            </w:r>
            <w:r>
              <w:rPr>
                <w:rFonts w:hint="eastAsia" w:ascii="宋体" w:hAnsi="宋体" w:eastAsia="宋体" w:cs="宋体"/>
                <w:bCs/>
                <w:color w:val="auto"/>
                <w:sz w:val="24"/>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12</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资格审查方式</w:t>
            </w:r>
          </w:p>
        </w:tc>
        <w:tc>
          <w:tcPr>
            <w:tcW w:w="3667" w:type="pct"/>
            <w:vAlign w:val="center"/>
          </w:tcPr>
          <w:p>
            <w:pPr>
              <w:pStyle w:val="44"/>
              <w:ind w:left="108"/>
              <w:rPr>
                <w:rFonts w:hint="eastAsia" w:ascii="宋体" w:hAnsi="宋体" w:eastAsia="宋体" w:cs="宋体"/>
                <w:b/>
                <w:color w:val="auto"/>
                <w:sz w:val="24"/>
                <w:highlight w:val="none"/>
              </w:rPr>
            </w:pPr>
            <w:r>
              <w:rPr>
                <w:rFonts w:hint="eastAsia" w:ascii="宋体" w:hAnsi="宋体" w:eastAsia="宋体" w:cs="宋体"/>
                <w:color w:val="auto"/>
                <w:sz w:val="24"/>
                <w:highlight w:val="none"/>
                <w:u w:val="single"/>
              </w:rPr>
              <w:t>资格后审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13</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资质等级要求</w:t>
            </w:r>
          </w:p>
        </w:tc>
        <w:tc>
          <w:tcPr>
            <w:tcW w:w="3667" w:type="pct"/>
            <w:vAlign w:val="center"/>
          </w:tcPr>
          <w:p>
            <w:pPr>
              <w:pStyle w:val="44"/>
              <w:ind w:left="108"/>
              <w:rPr>
                <w:rFonts w:hint="eastAsia" w:ascii="宋体" w:hAnsi="宋体" w:eastAsia="宋体" w:cs="宋体"/>
                <w:b/>
                <w:color w:val="auto"/>
                <w:sz w:val="24"/>
                <w:highlight w:val="none"/>
              </w:rPr>
            </w:pPr>
            <w:r>
              <w:rPr>
                <w:rFonts w:hint="eastAsia" w:ascii="宋体" w:hAnsi="宋体" w:eastAsia="宋体" w:cs="宋体"/>
                <w:color w:val="auto"/>
                <w:sz w:val="24"/>
                <w:highlight w:val="none"/>
                <w:u w:val="single"/>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14</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投标人项目经理要求</w:t>
            </w:r>
          </w:p>
        </w:tc>
        <w:tc>
          <w:tcPr>
            <w:tcW w:w="3667" w:type="pct"/>
            <w:vAlign w:val="center"/>
          </w:tcPr>
          <w:p>
            <w:pPr>
              <w:autoSpaceDE/>
              <w:autoSpaceDN/>
              <w:adjustRightInd w:val="0"/>
              <w:rPr>
                <w:rFonts w:hint="eastAsia" w:ascii="宋体" w:hAnsi="宋体" w:eastAsia="宋体" w:cs="宋体"/>
                <w:b/>
                <w:color w:val="auto"/>
                <w:sz w:val="24"/>
                <w:highlight w:val="none"/>
              </w:rPr>
            </w:pPr>
            <w:r>
              <w:rPr>
                <w:rFonts w:hint="eastAsia" w:ascii="宋体" w:hAnsi="宋体" w:eastAsia="宋体" w:cs="宋体"/>
                <w:color w:val="auto"/>
                <w:sz w:val="24"/>
                <w:szCs w:val="21"/>
                <w:highlight w:val="none"/>
                <w:lang w:val="en-US" w:bidi="ar-SA"/>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15</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投标替代方案</w:t>
            </w:r>
          </w:p>
        </w:tc>
        <w:tc>
          <w:tcPr>
            <w:tcW w:w="3667" w:type="pct"/>
            <w:vAlign w:val="center"/>
          </w:tcPr>
          <w:p>
            <w:pPr>
              <w:pStyle w:val="44"/>
              <w:tabs>
                <w:tab w:val="left" w:pos="2683"/>
              </w:tabs>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不允许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16</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投标文件</w:t>
            </w:r>
          </w:p>
        </w:tc>
        <w:tc>
          <w:tcPr>
            <w:tcW w:w="3667" w:type="pct"/>
            <w:vAlign w:val="center"/>
          </w:tcPr>
          <w:p>
            <w:pPr>
              <w:pStyle w:val="44"/>
              <w:tabs>
                <w:tab w:val="left" w:pos="2683"/>
              </w:tabs>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采用网上电子开评标的项目，无需提供纸质投标文件：</w:t>
            </w:r>
          </w:p>
          <w:p>
            <w:pPr>
              <w:pStyle w:val="44"/>
              <w:tabs>
                <w:tab w:val="left" w:pos="2683"/>
              </w:tabs>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（1）加密的电子投标文件。投标人应在投标截止时间前，从网上开评标系统递交加密后的电子投标文件。投标人需采用最新版投标文件制作工具，具体请在铜陵市公共资源交易网上下载。</w:t>
            </w:r>
          </w:p>
          <w:p>
            <w:pPr>
              <w:pStyle w:val="44"/>
              <w:tabs>
                <w:tab w:val="left" w:pos="2683"/>
              </w:tabs>
              <w:ind w:left="108"/>
              <w:rPr>
                <w:rFonts w:hint="eastAsia" w:ascii="宋体" w:hAnsi="宋体" w:eastAsia="宋体" w:cs="宋体"/>
                <w:color w:val="auto"/>
                <w:highlight w:val="none"/>
              </w:rPr>
            </w:pPr>
            <w:r>
              <w:rPr>
                <w:rFonts w:hint="eastAsia" w:ascii="宋体" w:hAnsi="宋体" w:eastAsia="宋体" w:cs="宋体"/>
                <w:color w:val="auto"/>
                <w:sz w:val="24"/>
                <w:highlight w:val="none"/>
              </w:rPr>
              <w:t>（2） 仅中标单位在领取中标通知书时需提供一份正本，三份副本纸质投标文件（必须和电子版投标文件一致）。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17</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投标有效期</w:t>
            </w:r>
          </w:p>
        </w:tc>
        <w:tc>
          <w:tcPr>
            <w:tcW w:w="3667" w:type="pct"/>
            <w:vAlign w:val="center"/>
          </w:tcPr>
          <w:p>
            <w:pPr>
              <w:pStyle w:val="44"/>
              <w:spacing w:line="304" w:lineRule="exact"/>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投标文件提交截止时间后：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rPr>
              <w:t>90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天内有效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9"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18</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投标保证金</w:t>
            </w:r>
          </w:p>
        </w:tc>
        <w:tc>
          <w:tcPr>
            <w:tcW w:w="3667" w:type="pct"/>
            <w:vAlign w:val="center"/>
          </w:tcPr>
          <w:p>
            <w:pPr>
              <w:pStyle w:val="44"/>
              <w:spacing w:line="307" w:lineRule="auto"/>
              <w:ind w:left="108" w:right="184"/>
              <w:jc w:val="both"/>
              <w:rPr>
                <w:rFonts w:hint="eastAsia" w:ascii="宋体" w:hAnsi="宋体" w:eastAsia="宋体" w:cs="宋体"/>
                <w:b/>
                <w:color w:val="auto"/>
                <w:sz w:val="24"/>
                <w:highlight w:val="none"/>
              </w:rPr>
            </w:pPr>
            <w:r>
              <w:rPr>
                <w:rFonts w:hint="eastAsia" w:ascii="宋体" w:hAnsi="宋体" w:eastAsia="宋体" w:cs="宋体"/>
                <w:color w:val="auto"/>
                <w:sz w:val="24"/>
                <w:highlight w:val="none"/>
              </w:rPr>
              <w:t>本项目投标保证金</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万元。保证金形式可以为转账、保函、保证保险中的任意一种，但不得采用两种（含两种）以上形式。转账形式的保证金必须于开标前，由投标企业注册所在地基本账户汇达至本项目招标公告指定的账号。招标代理机构应将采用纸质形式出具的保函扫描件随同中标候选人公示一道公开，原件由中标候选人在中标候选人公示结束前递交给招标人或招标代理机构（其余投标人无需递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19</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中标人履约担保</w:t>
            </w:r>
          </w:p>
        </w:tc>
        <w:tc>
          <w:tcPr>
            <w:tcW w:w="3667" w:type="pct"/>
            <w:vAlign w:val="center"/>
          </w:tcPr>
          <w:p>
            <w:pPr>
              <w:pStyle w:val="44"/>
              <w:spacing w:line="307" w:lineRule="auto"/>
              <w:ind w:left="108" w:right="184"/>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中标人提供的履约保证金为合同价款的</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%（不含暂列金额及甲供材）。</w:t>
            </w:r>
          </w:p>
          <w:p>
            <w:pPr>
              <w:pStyle w:val="44"/>
              <w:spacing w:line="307" w:lineRule="auto"/>
              <w:ind w:left="108" w:right="184"/>
              <w:jc w:val="both"/>
              <w:rPr>
                <w:rFonts w:hint="eastAsia" w:ascii="宋体" w:hAnsi="宋体" w:eastAsia="宋体" w:cs="宋体"/>
                <w:b/>
                <w:color w:val="auto"/>
                <w:sz w:val="24"/>
                <w:highlight w:val="none"/>
              </w:rPr>
            </w:pPr>
            <w:r>
              <w:rPr>
                <w:rFonts w:hint="eastAsia" w:ascii="宋体" w:hAnsi="宋体" w:eastAsia="宋体" w:cs="宋体"/>
                <w:color w:val="auto"/>
                <w:sz w:val="24"/>
                <w:highlight w:val="none"/>
              </w:rPr>
              <w:t>保证金形式可以为转账、保函、保证保险三种形式的任意一种。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20</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安全文明要求</w:t>
            </w:r>
          </w:p>
        </w:tc>
        <w:tc>
          <w:tcPr>
            <w:tcW w:w="3667" w:type="pct"/>
            <w:vAlign w:val="center"/>
          </w:tcPr>
          <w:p>
            <w:pPr>
              <w:pStyle w:val="44"/>
              <w:spacing w:before="68"/>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必须确保安全文明施工，执行国家现行相关规定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0"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bidi="ar-SA"/>
              </w:rPr>
            </w:pPr>
            <w:r>
              <w:rPr>
                <w:rFonts w:hint="eastAsia" w:ascii="宋体" w:hAnsi="宋体" w:eastAsia="宋体" w:cs="宋体"/>
                <w:color w:val="auto"/>
                <w:sz w:val="24"/>
                <w:szCs w:val="21"/>
                <w:highlight w:val="none"/>
                <w:lang w:val="en-US" w:bidi="ar-SA"/>
              </w:rPr>
              <w:t>21</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bidi="ar-SA"/>
              </w:rPr>
            </w:pPr>
            <w:r>
              <w:rPr>
                <w:rFonts w:hint="eastAsia" w:ascii="宋体" w:hAnsi="宋体" w:eastAsia="宋体" w:cs="宋体"/>
                <w:color w:val="auto"/>
                <w:sz w:val="24"/>
                <w:szCs w:val="21"/>
                <w:highlight w:val="none"/>
                <w:lang w:val="en-US" w:bidi="ar-SA"/>
              </w:rPr>
              <w:t>总包及分包规定</w:t>
            </w:r>
          </w:p>
        </w:tc>
        <w:tc>
          <w:tcPr>
            <w:tcW w:w="3667" w:type="pct"/>
            <w:vAlign w:val="center"/>
          </w:tcPr>
          <w:p>
            <w:pPr>
              <w:pStyle w:val="44"/>
              <w:spacing w:line="362" w:lineRule="exact"/>
              <w:ind w:left="108"/>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中标人不得在中标后将工程转包给其它单位。</w:t>
            </w:r>
          </w:p>
          <w:p>
            <w:pPr>
              <w:pStyle w:val="44"/>
              <w:spacing w:before="25"/>
              <w:ind w:left="108"/>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本项目</w:t>
            </w:r>
            <w:r>
              <w:rPr>
                <w:rFonts w:hint="eastAsia" w:ascii="宋体" w:hAnsi="宋体" w:eastAsia="宋体" w:cs="宋体"/>
                <w:b/>
                <w:color w:val="auto"/>
                <w:sz w:val="24"/>
                <w:highlight w:val="none"/>
                <w:u w:val="single"/>
              </w:rPr>
              <w:t xml:space="preserve"> 主体 </w:t>
            </w:r>
            <w:r>
              <w:rPr>
                <w:rFonts w:hint="eastAsia" w:ascii="宋体" w:hAnsi="宋体" w:eastAsia="宋体" w:cs="宋体"/>
                <w:b/>
                <w:color w:val="auto"/>
                <w:sz w:val="24"/>
                <w:highlight w:val="none"/>
              </w:rPr>
              <w:t>部分不得分包。</w:t>
            </w:r>
          </w:p>
          <w:p>
            <w:pPr>
              <w:pStyle w:val="44"/>
              <w:spacing w:line="307" w:lineRule="auto"/>
              <w:ind w:left="108" w:right="184"/>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非主体、非关键性工程如需分包，分包项目、内容及分包商需符合国家有关规定，并须经监理单位及招标人同意和认可。招标人依法负责对转包、分包行为的监督处理，并在处理的同时及时向工程所在地的行业主管部门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5"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22</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主要材料要求</w:t>
            </w:r>
          </w:p>
        </w:tc>
        <w:tc>
          <w:tcPr>
            <w:tcW w:w="3667" w:type="pct"/>
            <w:vAlign w:val="center"/>
          </w:tcPr>
          <w:p>
            <w:pPr>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6"/>
                <w:sz w:val="24"/>
                <w:szCs w:val="24"/>
                <w:highlight w:val="none"/>
              </w:rPr>
              <w:t>工程所需材料由</w:t>
            </w:r>
            <w:r>
              <w:rPr>
                <w:rFonts w:hint="eastAsia" w:ascii="宋体" w:hAnsi="宋体" w:eastAsia="宋体" w:cs="宋体"/>
                <w:color w:val="auto"/>
                <w:spacing w:val="-6"/>
                <w:sz w:val="24"/>
                <w:szCs w:val="24"/>
                <w:highlight w:val="none"/>
                <w:u w:val="single" w:color="auto"/>
                <w14:textOutline w14:w="4354" w14:cap="flat" w14:cmpd="sng">
                  <w14:solidFill>
                    <w14:srgbClr w14:val="000000"/>
                  </w14:solidFill>
                  <w14:prstDash w14:val="solid"/>
                  <w14:miter w14:val="0"/>
                </w14:textOutline>
              </w:rPr>
              <w:t>中标人自行</w:t>
            </w:r>
            <w:r>
              <w:rPr>
                <w:rFonts w:hint="eastAsia" w:ascii="宋体" w:hAnsi="宋体" w:eastAsia="宋体" w:cs="宋体"/>
                <w:color w:val="auto"/>
                <w:spacing w:val="-6"/>
                <w:sz w:val="24"/>
                <w:szCs w:val="24"/>
                <w:highlight w:val="none"/>
              </w:rPr>
              <w:t>采购的，应当在进场前由监理单位及</w:t>
            </w:r>
            <w:r>
              <w:rPr>
                <w:rFonts w:hint="eastAsia" w:ascii="宋体" w:hAnsi="宋体" w:eastAsia="宋体" w:cs="宋体"/>
                <w:color w:val="auto"/>
                <w:spacing w:val="1"/>
                <w:sz w:val="24"/>
                <w:szCs w:val="24"/>
                <w:highlight w:val="none"/>
              </w:rPr>
              <w:t>发包人、设计人员认可并取得相应的检测合格报告（相应检测费</w:t>
            </w:r>
            <w:r>
              <w:rPr>
                <w:rFonts w:hint="eastAsia" w:ascii="宋体" w:hAnsi="宋体" w:eastAsia="宋体" w:cs="宋体"/>
                <w:color w:val="auto"/>
                <w:spacing w:val="-4"/>
                <w:sz w:val="24"/>
                <w:szCs w:val="24"/>
                <w:highlight w:val="none"/>
              </w:rPr>
              <w:t>用由中标人承担</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后，方可进场使用。因中标人自行采购的材料</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质量引起的工程质量问题由中标人承担所造成的一切损失</w:t>
            </w:r>
            <w:r>
              <w:rPr>
                <w:rFonts w:hint="eastAsia" w:ascii="宋体" w:hAnsi="宋体" w:eastAsia="宋体" w:cs="宋体"/>
                <w:color w:val="auto"/>
                <w:spacing w:val="-5"/>
                <w:sz w:val="24"/>
                <w:szCs w:val="24"/>
                <w:highlight w:val="none"/>
                <w:lang w:eastAsia="zh-CN"/>
              </w:rPr>
              <w:t>。</w:t>
            </w:r>
          </w:p>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如本项目列出了主要材料或设备的推荐品牌，仅为说明而非具有限制性，投标人供应商可以选用其他品牌，但其质量标准应优于或相当于技术规格中要求的标准。</w:t>
            </w:r>
          </w:p>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特别提示：房建市政类项目采用商品砼、预拌砂浆。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414" w:type="pct"/>
            <w:vAlign w:val="center"/>
          </w:tcPr>
          <w:p>
            <w:pPr>
              <w:pStyle w:val="44"/>
              <w:spacing w:before="44"/>
              <w:ind w:left="300"/>
              <w:rPr>
                <w:rFonts w:hint="eastAsia" w:ascii="宋体" w:hAnsi="宋体" w:eastAsia="宋体" w:cs="宋体"/>
                <w:color w:val="auto"/>
                <w:sz w:val="24"/>
                <w:highlight w:val="none"/>
              </w:rPr>
            </w:pPr>
            <w:r>
              <w:rPr>
                <w:rFonts w:hint="eastAsia" w:ascii="宋体" w:hAnsi="宋体" w:eastAsia="宋体" w:cs="宋体"/>
                <w:color w:val="auto"/>
                <w:sz w:val="24"/>
                <w:highlight w:val="none"/>
              </w:rPr>
              <w:t>23</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现场条件</w:t>
            </w:r>
          </w:p>
        </w:tc>
        <w:tc>
          <w:tcPr>
            <w:tcW w:w="3667" w:type="pct"/>
            <w:vAlign w:val="center"/>
          </w:tcPr>
          <w:p>
            <w:pPr>
              <w:pStyle w:val="44"/>
              <w:spacing w:before="44"/>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具备开工条件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5" w:hRule="atLeast"/>
        </w:trPr>
        <w:tc>
          <w:tcPr>
            <w:tcW w:w="414" w:type="pct"/>
            <w:vAlign w:val="center"/>
          </w:tcPr>
          <w:p>
            <w:pPr>
              <w:pStyle w:val="44"/>
              <w:ind w:left="300"/>
              <w:rPr>
                <w:rFonts w:hint="eastAsia" w:ascii="宋体" w:hAnsi="宋体" w:eastAsia="宋体" w:cs="宋体"/>
                <w:color w:val="auto"/>
                <w:sz w:val="24"/>
                <w:highlight w:val="none"/>
              </w:rPr>
            </w:pPr>
            <w:r>
              <w:rPr>
                <w:rFonts w:hint="eastAsia" w:ascii="宋体" w:hAnsi="宋体" w:eastAsia="宋体" w:cs="宋体"/>
                <w:color w:val="auto"/>
                <w:sz w:val="24"/>
                <w:highlight w:val="none"/>
              </w:rPr>
              <w:t>24</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开标注意事项</w:t>
            </w:r>
          </w:p>
        </w:tc>
        <w:tc>
          <w:tcPr>
            <w:tcW w:w="3667" w:type="pct"/>
            <w:vAlign w:val="center"/>
          </w:tcPr>
          <w:p>
            <w:pPr>
              <w:pStyle w:val="44"/>
              <w:spacing w:line="365" w:lineRule="exact"/>
              <w:ind w:left="108"/>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开标会议邀请所有投标人代表参加（疫情防控期间谢绝投标人代表至开标现场），实行电子开标的，所有投标人均应当准时在线参加开标。 详见投标须知中开标部分及评标办法</w:t>
            </w:r>
            <w:r>
              <w:rPr>
                <w:rFonts w:hint="eastAsia" w:ascii="宋体" w:hAnsi="宋体" w:eastAsia="宋体" w:cs="宋体"/>
                <w:color w:val="auto"/>
                <w:sz w:val="24"/>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414" w:type="pct"/>
            <w:vAlign w:val="center"/>
          </w:tcPr>
          <w:p>
            <w:pPr>
              <w:pStyle w:val="44"/>
              <w:spacing w:line="304" w:lineRule="exact"/>
              <w:ind w:left="300"/>
              <w:rPr>
                <w:rFonts w:hint="eastAsia" w:ascii="宋体" w:hAnsi="宋体" w:eastAsia="宋体" w:cs="宋体"/>
                <w:color w:val="auto"/>
                <w:sz w:val="24"/>
                <w:highlight w:val="none"/>
              </w:rPr>
            </w:pPr>
            <w:r>
              <w:rPr>
                <w:rFonts w:hint="eastAsia" w:ascii="宋体" w:hAnsi="宋体" w:eastAsia="宋体" w:cs="宋体"/>
                <w:color w:val="auto"/>
                <w:sz w:val="24"/>
                <w:highlight w:val="none"/>
              </w:rPr>
              <w:t>25</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废标条款</w:t>
            </w:r>
          </w:p>
        </w:tc>
        <w:tc>
          <w:tcPr>
            <w:tcW w:w="3667" w:type="pct"/>
            <w:vAlign w:val="center"/>
          </w:tcPr>
          <w:p>
            <w:pPr>
              <w:pStyle w:val="44"/>
              <w:spacing w:line="304" w:lineRule="exact"/>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见评标、定标 27.2 重大偏差部分及评标办法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414" w:type="pct"/>
            <w:vAlign w:val="center"/>
          </w:tcPr>
          <w:p>
            <w:pPr>
              <w:pStyle w:val="44"/>
              <w:ind w:left="300"/>
              <w:rPr>
                <w:rFonts w:hint="eastAsia" w:ascii="宋体" w:hAnsi="宋体" w:eastAsia="宋体" w:cs="宋体"/>
                <w:color w:val="auto"/>
                <w:sz w:val="24"/>
                <w:highlight w:val="none"/>
              </w:rPr>
            </w:pPr>
            <w:r>
              <w:rPr>
                <w:rFonts w:hint="eastAsia" w:ascii="宋体" w:hAnsi="宋体" w:eastAsia="宋体" w:cs="宋体"/>
                <w:color w:val="auto"/>
                <w:sz w:val="24"/>
                <w:highlight w:val="none"/>
              </w:rPr>
              <w:t>26</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对招标文件提出异议的最迟时间</w:t>
            </w:r>
          </w:p>
        </w:tc>
        <w:tc>
          <w:tcPr>
            <w:tcW w:w="3667" w:type="pct"/>
            <w:vAlign w:val="center"/>
          </w:tcPr>
          <w:p>
            <w:pPr>
              <w:pStyle w:val="44"/>
              <w:spacing w:before="44"/>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投标截止10日前。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1" w:hRule="atLeast"/>
        </w:trPr>
        <w:tc>
          <w:tcPr>
            <w:tcW w:w="414" w:type="pct"/>
            <w:vAlign w:val="center"/>
          </w:tcPr>
          <w:p>
            <w:pPr>
              <w:pStyle w:val="44"/>
              <w:ind w:left="300"/>
              <w:rPr>
                <w:rFonts w:hint="eastAsia" w:ascii="宋体" w:hAnsi="宋体" w:eastAsia="宋体" w:cs="宋体"/>
                <w:color w:val="auto"/>
                <w:sz w:val="24"/>
                <w:highlight w:val="none"/>
              </w:rPr>
            </w:pPr>
            <w:r>
              <w:rPr>
                <w:rFonts w:hint="eastAsia" w:ascii="宋体" w:hAnsi="宋体" w:eastAsia="宋体" w:cs="宋体"/>
                <w:color w:val="auto"/>
                <w:sz w:val="24"/>
                <w:highlight w:val="none"/>
              </w:rPr>
              <w:t>27</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提出异议的方法</w:t>
            </w:r>
          </w:p>
        </w:tc>
        <w:tc>
          <w:tcPr>
            <w:tcW w:w="3667" w:type="pct"/>
            <w:vAlign w:val="center"/>
          </w:tcPr>
          <w:p>
            <w:pPr>
              <w:pStyle w:val="44"/>
              <w:spacing w:before="44"/>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为方便投标人，加强疫情防控，提倡采取在铜陵市公共资源交易系统线上异议的方式，线上异议材料需按规定实行电子签章。请投标人及时在市场主体库注册登记，以免影响线上异议功能的实现。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1" w:hRule="atLeast"/>
        </w:trPr>
        <w:tc>
          <w:tcPr>
            <w:tcW w:w="414" w:type="pct"/>
            <w:vAlign w:val="center"/>
          </w:tcPr>
          <w:p>
            <w:pPr>
              <w:pStyle w:val="44"/>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28</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招标文件的澄清和异议回复</w:t>
            </w:r>
          </w:p>
        </w:tc>
        <w:tc>
          <w:tcPr>
            <w:tcW w:w="3667" w:type="pct"/>
            <w:vAlign w:val="center"/>
          </w:tcPr>
          <w:p>
            <w:pPr>
              <w:pStyle w:val="44"/>
              <w:spacing w:before="44"/>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对招标文件的修改将在全国公共资源交易平台（安徽•铜陵市）发布；对异议的回复将通过铜陵市公共资源交易系统线上进行，回复按规定实行电子签章，请投标人及时在市场主体库注册登记，以免影响在线查看异议回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414" w:type="pct"/>
            <w:vAlign w:val="center"/>
          </w:tcPr>
          <w:p>
            <w:pPr>
              <w:pStyle w:val="44"/>
              <w:ind w:left="290"/>
              <w:rPr>
                <w:rFonts w:hint="eastAsia" w:ascii="宋体" w:hAnsi="宋体" w:eastAsia="宋体" w:cs="宋体"/>
                <w:color w:val="auto"/>
                <w:sz w:val="24"/>
                <w:highlight w:val="none"/>
              </w:rPr>
            </w:pPr>
            <w:r>
              <w:rPr>
                <w:rFonts w:hint="eastAsia" w:ascii="宋体" w:hAnsi="宋体" w:eastAsia="宋体" w:cs="宋体"/>
                <w:color w:val="auto"/>
                <w:sz w:val="24"/>
                <w:highlight w:val="none"/>
              </w:rPr>
              <w:t>29</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招标代理服务费</w:t>
            </w:r>
          </w:p>
        </w:tc>
        <w:tc>
          <w:tcPr>
            <w:tcW w:w="3667" w:type="pct"/>
            <w:vAlign w:val="center"/>
          </w:tcPr>
          <w:p>
            <w:pPr>
              <w:pStyle w:val="44"/>
              <w:spacing w:before="44"/>
              <w:ind w:left="108"/>
              <w:rPr>
                <w:rFonts w:hint="eastAsia" w:ascii="宋体" w:hAnsi="宋体" w:eastAsia="宋体" w:cs="宋体"/>
                <w:color w:val="auto"/>
                <w:sz w:val="24"/>
                <w:highlight w:val="none"/>
              </w:rPr>
            </w:pPr>
            <w:r>
              <w:rPr>
                <w:rFonts w:hint="eastAsia" w:ascii="宋体" w:hAnsi="宋体" w:eastAsia="宋体" w:cs="宋体"/>
                <w:color w:val="auto"/>
                <w:spacing w:val="-2"/>
                <w:sz w:val="24"/>
                <w:szCs w:val="24"/>
                <w:highlight w:val="none"/>
              </w:rPr>
              <w:t>招标代理费包干价</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2"/>
                <w:sz w:val="24"/>
                <w:szCs w:val="24"/>
                <w:highlight w:val="none"/>
              </w:rPr>
              <w:t>万元。投标人自行考虑进投标总价中，此费用由中标人在领取中标通知书前支付，不向招标人收取。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414" w:type="pct"/>
            <w:vAlign w:val="center"/>
          </w:tcPr>
          <w:p>
            <w:pPr>
              <w:pStyle w:val="44"/>
              <w:spacing w:before="64"/>
              <w:ind w:left="290"/>
              <w:rPr>
                <w:rFonts w:hint="eastAsia" w:ascii="宋体" w:hAnsi="宋体" w:eastAsia="宋体" w:cs="宋体"/>
                <w:color w:val="auto"/>
                <w:sz w:val="24"/>
                <w:highlight w:val="none"/>
              </w:rPr>
            </w:pPr>
            <w:r>
              <w:rPr>
                <w:rFonts w:hint="eastAsia" w:ascii="宋体" w:hAnsi="宋体" w:eastAsia="宋体" w:cs="宋体"/>
                <w:color w:val="auto"/>
                <w:sz w:val="24"/>
                <w:highlight w:val="none"/>
              </w:rPr>
              <w:t>30</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施工重点难点</w:t>
            </w:r>
          </w:p>
        </w:tc>
        <w:tc>
          <w:tcPr>
            <w:tcW w:w="3667" w:type="pct"/>
            <w:vAlign w:val="center"/>
          </w:tcPr>
          <w:p>
            <w:pPr>
              <w:pStyle w:val="44"/>
              <w:spacing w:line="304" w:lineRule="exact"/>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详见“第三章《需补充或改动的格式条款》”内容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9"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31</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人员到岗及履约要求</w:t>
            </w:r>
          </w:p>
        </w:tc>
        <w:tc>
          <w:tcPr>
            <w:tcW w:w="3667" w:type="pct"/>
            <w:vAlign w:val="center"/>
          </w:tcPr>
          <w:p>
            <w:pPr>
              <w:pStyle w:val="44"/>
              <w:spacing w:before="44"/>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投标人一旦中标，拟派的建造师在整个项目施工期内必须在岗，否则招标人有权终止合同。由此造成的损失，中标人自行承担，并赔偿由此给招标人带来的损失。</w:t>
            </w:r>
          </w:p>
          <w:p>
            <w:pPr>
              <w:pStyle w:val="44"/>
              <w:spacing w:before="44"/>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中标人不得擅自更换建造师及项目部主要管理人员，确需更换时，须报经招标人同意。中标人未能按照承诺到岗尽职的，招标人将视情况严重程度对其作出相应处理，给予警告并发出整改通知。如仍未及时整改，招标人有权责令其停工整改、直至终止合同。</w:t>
            </w:r>
          </w:p>
          <w:p>
            <w:pPr>
              <w:pStyle w:val="44"/>
              <w:spacing w:before="44"/>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本项目建筑工人实行实名制管理，具体要求见安徽省住房和城乡建设厅、安徽省人力资源和社会保障厅《关于进一步推进房屋建筑和市政工程建设领域建筑工人实名制管理工作的通知》（建市函〔2019〕1号）。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0"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bidi="ar-SA"/>
              </w:rPr>
            </w:pPr>
            <w:r>
              <w:rPr>
                <w:rFonts w:hint="eastAsia" w:ascii="宋体" w:hAnsi="宋体" w:eastAsia="宋体" w:cs="宋体"/>
                <w:color w:val="auto"/>
                <w:sz w:val="24"/>
                <w:szCs w:val="21"/>
                <w:highlight w:val="none"/>
                <w:lang w:val="en-US" w:bidi="ar-SA"/>
              </w:rPr>
              <w:t>32</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bidi="ar-SA"/>
              </w:rPr>
            </w:pPr>
            <w:r>
              <w:rPr>
                <w:rFonts w:hint="eastAsia" w:ascii="宋体" w:hAnsi="宋体" w:eastAsia="宋体" w:cs="宋体"/>
                <w:color w:val="auto"/>
                <w:sz w:val="24"/>
                <w:szCs w:val="21"/>
                <w:highlight w:val="none"/>
                <w:lang w:val="en-US" w:bidi="ar-SA"/>
              </w:rPr>
              <w:t>材料要求</w:t>
            </w:r>
          </w:p>
        </w:tc>
        <w:tc>
          <w:tcPr>
            <w:tcW w:w="3667" w:type="pct"/>
            <w:vAlign w:val="center"/>
          </w:tcPr>
          <w:p>
            <w:pPr>
              <w:pStyle w:val="44"/>
              <w:spacing w:before="44"/>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中标人自行采购的材料应满足设计和规范要求的质量等级，并须按有关技术规范要求对材料质量进行检验。中标人选定的材料供应厂家和价格须经招标人和监理单位认可。如招标人和监理单位对材料的质量有异议，有权提出权威检验部门鉴定的要求，若经鉴定确有质量问题，由此而发生的一切费用由中标人自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9"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bidi="ar-SA"/>
              </w:rPr>
            </w:pPr>
            <w:r>
              <w:rPr>
                <w:rFonts w:hint="eastAsia" w:ascii="宋体" w:hAnsi="宋体" w:eastAsia="宋体" w:cs="宋体"/>
                <w:color w:val="auto"/>
                <w:sz w:val="24"/>
                <w:szCs w:val="21"/>
                <w:highlight w:val="none"/>
                <w:lang w:val="en-US" w:bidi="ar-SA"/>
              </w:rPr>
              <w:t>33</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bidi="ar-SA"/>
              </w:rPr>
            </w:pPr>
            <w:r>
              <w:rPr>
                <w:rFonts w:hint="eastAsia" w:ascii="宋体" w:hAnsi="宋体" w:eastAsia="宋体" w:cs="宋体"/>
                <w:color w:val="auto"/>
                <w:sz w:val="24"/>
                <w:szCs w:val="21"/>
                <w:highlight w:val="none"/>
                <w:lang w:val="en-US" w:bidi="ar-SA"/>
              </w:rPr>
              <w:t>领取中标通知书及合同签订要求</w:t>
            </w:r>
          </w:p>
        </w:tc>
        <w:tc>
          <w:tcPr>
            <w:tcW w:w="3667" w:type="pct"/>
            <w:vAlign w:val="center"/>
          </w:tcPr>
          <w:p>
            <w:pPr>
              <w:pStyle w:val="44"/>
              <w:tabs>
                <w:tab w:val="left" w:pos="354"/>
                <w:tab w:val="left" w:pos="4071"/>
              </w:tabs>
              <w:spacing w:line="362" w:lineRule="exact"/>
              <w:ind w:left="10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rPr>
              <w:t>（1）</w:t>
            </w:r>
            <w:r>
              <w:rPr>
                <w:rFonts w:hint="eastAsia" w:ascii="宋体" w:hAnsi="宋体" w:eastAsia="宋体" w:cs="宋体"/>
                <w:color w:val="auto"/>
                <w:sz w:val="24"/>
                <w:highlight w:val="none"/>
              </w:rPr>
              <w:t>中标人应在中标公示发布后的</w:t>
            </w:r>
            <w:r>
              <w:rPr>
                <w:rFonts w:hint="eastAsia" w:ascii="宋体" w:hAnsi="宋体" w:eastAsia="宋体" w:cs="宋体"/>
                <w:color w:val="auto"/>
                <w:sz w:val="24"/>
                <w:highlight w:val="none"/>
                <w:u w:val="single"/>
              </w:rPr>
              <w:t xml:space="preserve">  7</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rPr>
              <w:t>天内领取《中标通知书》，逾期不领取视为放弃中标资格，招标人有权取消中标人中标资格，并将相关情况报送监管部门，由监管部门按规定处理。</w:t>
            </w:r>
          </w:p>
          <w:p>
            <w:pPr>
              <w:pStyle w:val="44"/>
              <w:tabs>
                <w:tab w:val="left" w:pos="352"/>
              </w:tabs>
              <w:spacing w:line="290" w:lineRule="auto"/>
              <w:ind w:left="109" w:right="89"/>
              <w:jc w:val="both"/>
              <w:rPr>
                <w:rFonts w:hint="eastAsia" w:ascii="宋体" w:hAnsi="宋体" w:eastAsia="宋体" w:cs="宋体"/>
                <w:color w:val="auto"/>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rPr>
              <w:t>2</w:t>
            </w:r>
            <w:r>
              <w:rPr>
                <w:rFonts w:hint="eastAsia" w:ascii="宋体" w:hAnsi="宋体" w:eastAsia="宋体" w:cs="宋体"/>
                <w:color w:val="auto"/>
                <w:sz w:val="24"/>
                <w:highlight w:val="none"/>
              </w:rPr>
              <w:t>）中标人应在领取《中标通知书》后的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 xml:space="preserve"> 天内提交履约担保并与招标人签订合同，逾期未提交履约担保或签订合同的，招标人有权拒签合同、取消中标人中标资格，并将相关违约行为报送监管部门，由监管部门按规定处理。</w:t>
            </w:r>
          </w:p>
          <w:p>
            <w:pPr>
              <w:pStyle w:val="44"/>
              <w:tabs>
                <w:tab w:val="left" w:pos="352"/>
              </w:tabs>
              <w:spacing w:before="3" w:line="292" w:lineRule="auto"/>
              <w:ind w:left="109" w:right="-29"/>
              <w:rPr>
                <w:rFonts w:hint="eastAsia" w:ascii="宋体" w:hAnsi="宋体" w:eastAsia="宋体" w:cs="宋体"/>
                <w:color w:val="auto"/>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rPr>
              <w:t>3</w:t>
            </w:r>
            <w:r>
              <w:rPr>
                <w:rFonts w:hint="eastAsia" w:ascii="宋体" w:hAnsi="宋体" w:eastAsia="宋体" w:cs="宋体"/>
                <w:color w:val="auto"/>
                <w:sz w:val="24"/>
                <w:highlight w:val="none"/>
              </w:rPr>
              <w:t>）中标人拟派项目经理如在其他项目上担任项目经理岗位，未能按照承诺在合同签订前从其他项目变更至本项目的，招标人有权拒签合同、取消中标人中标资格，并将相关情况报送监管部门，由监管部门按规定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9"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p>
          <w:p>
            <w:pPr>
              <w:autoSpaceDE/>
              <w:autoSpaceDN/>
              <w:adjustRightInd w:val="0"/>
              <w:jc w:val="center"/>
              <w:rPr>
                <w:rFonts w:hint="eastAsia" w:ascii="宋体" w:hAnsi="宋体" w:eastAsia="宋体" w:cs="宋体"/>
                <w:color w:val="auto"/>
                <w:sz w:val="24"/>
                <w:szCs w:val="21"/>
                <w:highlight w:val="none"/>
                <w:lang w:val="en-US" w:bidi="ar-SA"/>
              </w:rPr>
            </w:pPr>
          </w:p>
          <w:p>
            <w:pPr>
              <w:autoSpaceDE/>
              <w:autoSpaceDN/>
              <w:adjustRightInd w:val="0"/>
              <w:jc w:val="center"/>
              <w:rPr>
                <w:rFonts w:hint="eastAsia" w:ascii="宋体" w:hAnsi="宋体" w:eastAsia="宋体" w:cs="宋体"/>
                <w:color w:val="auto"/>
                <w:sz w:val="24"/>
                <w:szCs w:val="21"/>
                <w:highlight w:val="none"/>
                <w:lang w:val="en-US" w:bidi="ar-SA"/>
              </w:rPr>
            </w:pPr>
          </w:p>
          <w:p>
            <w:pPr>
              <w:autoSpaceDE/>
              <w:autoSpaceDN/>
              <w:adjustRightInd w:val="0"/>
              <w:jc w:val="center"/>
              <w:rPr>
                <w:rFonts w:hint="eastAsia" w:ascii="宋体" w:hAnsi="宋体" w:eastAsia="宋体" w:cs="宋体"/>
                <w:color w:val="auto"/>
                <w:sz w:val="24"/>
                <w:szCs w:val="21"/>
                <w:highlight w:val="none"/>
                <w:lang w:bidi="ar-SA"/>
              </w:rPr>
            </w:pPr>
            <w:r>
              <w:rPr>
                <w:rFonts w:hint="eastAsia" w:ascii="宋体" w:hAnsi="宋体" w:eastAsia="宋体" w:cs="宋体"/>
                <w:color w:val="auto"/>
                <w:sz w:val="24"/>
                <w:szCs w:val="21"/>
                <w:highlight w:val="none"/>
                <w:lang w:val="en-US" w:bidi="ar-SA"/>
              </w:rPr>
              <w:t>34</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p>
          <w:p>
            <w:pPr>
              <w:autoSpaceDE/>
              <w:autoSpaceDN/>
              <w:adjustRightInd w:val="0"/>
              <w:jc w:val="center"/>
              <w:rPr>
                <w:rFonts w:hint="eastAsia" w:ascii="宋体" w:hAnsi="宋体" w:eastAsia="宋体" w:cs="宋体"/>
                <w:color w:val="auto"/>
                <w:sz w:val="24"/>
                <w:szCs w:val="21"/>
                <w:highlight w:val="none"/>
                <w:lang w:val="en-US" w:bidi="ar-SA"/>
              </w:rPr>
            </w:pPr>
          </w:p>
          <w:p>
            <w:pPr>
              <w:autoSpaceDE/>
              <w:autoSpaceDN/>
              <w:adjustRightInd w:val="0"/>
              <w:jc w:val="center"/>
              <w:rPr>
                <w:rFonts w:hint="eastAsia" w:ascii="宋体" w:hAnsi="宋体" w:eastAsia="宋体" w:cs="宋体"/>
                <w:color w:val="auto"/>
                <w:sz w:val="24"/>
                <w:szCs w:val="21"/>
                <w:highlight w:val="none"/>
                <w:lang w:val="en-US" w:bidi="ar-SA"/>
              </w:rPr>
            </w:pPr>
          </w:p>
          <w:p>
            <w:pPr>
              <w:autoSpaceDE/>
              <w:autoSpaceDN/>
              <w:adjustRightInd w:val="0"/>
              <w:jc w:val="center"/>
              <w:rPr>
                <w:rFonts w:hint="eastAsia" w:ascii="宋体" w:hAnsi="宋体" w:eastAsia="宋体" w:cs="宋体"/>
                <w:color w:val="auto"/>
                <w:sz w:val="24"/>
                <w:szCs w:val="21"/>
                <w:highlight w:val="none"/>
                <w:lang w:bidi="ar-SA"/>
              </w:rPr>
            </w:pPr>
            <w:r>
              <w:rPr>
                <w:rFonts w:hint="eastAsia" w:ascii="宋体" w:hAnsi="宋体" w:eastAsia="宋体" w:cs="宋体"/>
                <w:color w:val="auto"/>
                <w:sz w:val="24"/>
                <w:szCs w:val="21"/>
                <w:highlight w:val="none"/>
                <w:lang w:val="en-US" w:bidi="ar-SA"/>
              </w:rPr>
              <w:t>重要提示</w:t>
            </w:r>
          </w:p>
        </w:tc>
        <w:tc>
          <w:tcPr>
            <w:tcW w:w="3667" w:type="pct"/>
            <w:vAlign w:val="center"/>
          </w:tcPr>
          <w:p>
            <w:pPr>
              <w:pStyle w:val="44"/>
              <w:tabs>
                <w:tab w:val="left" w:pos="352"/>
              </w:tabs>
              <w:spacing w:before="3" w:line="292" w:lineRule="auto"/>
              <w:ind w:left="109" w:right="-2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1、网上电子开评标技术支持电话：（请咨询江苏国泰软件公司 400-998-0000）。</w:t>
            </w:r>
          </w:p>
          <w:p>
            <w:pPr>
              <w:pStyle w:val="44"/>
              <w:tabs>
                <w:tab w:val="left" w:pos="352"/>
              </w:tabs>
              <w:spacing w:before="3" w:line="292" w:lineRule="auto"/>
              <w:ind w:left="109" w:right="-29"/>
              <w:rPr>
                <w:rFonts w:hint="eastAsia" w:ascii="宋体" w:hAnsi="宋体" w:eastAsia="宋体" w:cs="宋体"/>
                <w:color w:val="auto"/>
                <w:sz w:val="24"/>
                <w:highlight w:val="none"/>
              </w:rPr>
            </w:pPr>
            <w:r>
              <w:rPr>
                <w:rFonts w:hint="eastAsia" w:ascii="宋体" w:hAnsi="宋体" w:eastAsia="宋体" w:cs="宋体"/>
                <w:color w:val="auto"/>
                <w:sz w:val="24"/>
                <w:highlight w:val="none"/>
              </w:rPr>
              <w:t>2、中标候选人业绩及项目经理经评审符合招标文件要求的业绩情况将在预中标公示中一并公开。</w:t>
            </w:r>
          </w:p>
          <w:p>
            <w:pPr>
              <w:pStyle w:val="44"/>
              <w:tabs>
                <w:tab w:val="left" w:pos="352"/>
              </w:tabs>
              <w:spacing w:before="3" w:line="292" w:lineRule="auto"/>
              <w:ind w:left="109" w:right="-29"/>
              <w:rPr>
                <w:rFonts w:hint="eastAsia" w:ascii="宋体" w:hAnsi="宋体" w:eastAsia="宋体" w:cs="宋体"/>
                <w:color w:val="auto"/>
                <w:sz w:val="24"/>
                <w:highlight w:val="none"/>
              </w:rPr>
            </w:pPr>
            <w:r>
              <w:rPr>
                <w:rFonts w:hint="eastAsia" w:ascii="宋体" w:hAnsi="宋体" w:eastAsia="宋体" w:cs="宋体"/>
                <w:color w:val="auto"/>
                <w:sz w:val="24"/>
                <w:highlight w:val="none"/>
              </w:rPr>
              <w:t>3、电子签章需在空白处，不要遮挡重要数据，否则可能导致被评委判定为废标。</w:t>
            </w:r>
          </w:p>
          <w:p>
            <w:pPr>
              <w:pStyle w:val="44"/>
              <w:tabs>
                <w:tab w:val="left" w:pos="352"/>
              </w:tabs>
              <w:spacing w:before="3" w:line="292" w:lineRule="auto"/>
              <w:ind w:left="109" w:right="-29"/>
              <w:rPr>
                <w:rFonts w:hint="eastAsia" w:ascii="宋体" w:hAnsi="宋体" w:eastAsia="宋体" w:cs="宋体"/>
                <w:color w:val="auto"/>
                <w:sz w:val="24"/>
                <w:highlight w:val="none"/>
              </w:rPr>
            </w:pPr>
            <w:r>
              <w:rPr>
                <w:rFonts w:hint="eastAsia" w:ascii="宋体" w:hAnsi="宋体" w:eastAsia="宋体" w:cs="宋体"/>
                <w:color w:val="auto"/>
                <w:sz w:val="24"/>
                <w:highlight w:val="none"/>
              </w:rPr>
              <w:t>4、如有多个评审环节需要提供相同的资料，投标人应在最靠前的评审环节提供，并在后续的评审环节中注明见投标文件的某个部分，以方便评委评审。</w:t>
            </w:r>
          </w:p>
          <w:p>
            <w:pPr>
              <w:pStyle w:val="44"/>
              <w:tabs>
                <w:tab w:val="left" w:pos="352"/>
              </w:tabs>
              <w:spacing w:before="3" w:line="292" w:lineRule="auto"/>
              <w:ind w:left="109" w:right="-29"/>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5、疫情防控期间，专家质询、否决投标通知及投标人的答复均通过交易系统完成，请各投标人关注系统通知，</w:t>
            </w:r>
            <w:r>
              <w:rPr>
                <w:rFonts w:hint="eastAsia" w:ascii="宋体" w:hAnsi="宋体" w:eastAsia="宋体" w:cs="宋体"/>
                <w:b/>
                <w:bCs/>
                <w:color w:val="auto"/>
                <w:sz w:val="24"/>
                <w:highlight w:val="none"/>
              </w:rPr>
              <w:t>在 30 分钟内在系统内进行回复，逾期未回复的，视同放弃澄清的权利或认可该通知。</w:t>
            </w:r>
          </w:p>
          <w:p>
            <w:pPr>
              <w:pStyle w:val="44"/>
              <w:tabs>
                <w:tab w:val="left" w:pos="352"/>
              </w:tabs>
              <w:spacing w:before="3" w:line="292" w:lineRule="auto"/>
              <w:ind w:left="109" w:right="-29"/>
              <w:rPr>
                <w:rFonts w:hint="eastAsia" w:ascii="宋体" w:hAnsi="宋体" w:eastAsia="宋体" w:cs="宋体"/>
                <w:color w:val="auto"/>
                <w:sz w:val="24"/>
                <w:highlight w:val="none"/>
              </w:rPr>
            </w:pPr>
            <w:r>
              <w:rPr>
                <w:rFonts w:hint="eastAsia" w:ascii="宋体" w:hAnsi="宋体" w:eastAsia="宋体" w:cs="宋体"/>
                <w:color w:val="auto"/>
                <w:sz w:val="24"/>
                <w:highlight w:val="none"/>
              </w:rPr>
              <w:t>6、投标人充分考虑现场交通情况，投标报价中须考虑招标文件中及施工组织设计中描述的所有措施项目费，须满足本工程施工中所有相关措施需要，并在技术标内体现出完整详细的交通组织专 项方案。投标人中标后，不得以不完全了解现场情况为由，提出 任何形式的增加工程造价或索赔的要求。投标人需充分考虑中标 期间材料价格变动等其他因素，一旦中标，其价格不变。</w:t>
            </w:r>
          </w:p>
          <w:p>
            <w:pPr>
              <w:pStyle w:val="44"/>
              <w:tabs>
                <w:tab w:val="left" w:pos="352"/>
              </w:tabs>
              <w:spacing w:before="3" w:line="292" w:lineRule="auto"/>
              <w:ind w:left="109" w:right="-29"/>
              <w:rPr>
                <w:rFonts w:hint="eastAsia" w:ascii="宋体" w:hAnsi="宋体" w:eastAsia="宋体" w:cs="宋体"/>
                <w:color w:val="auto"/>
                <w:sz w:val="24"/>
                <w:highlight w:val="none"/>
              </w:rPr>
            </w:pPr>
            <w:r>
              <w:rPr>
                <w:rFonts w:hint="eastAsia" w:ascii="宋体" w:hAnsi="宋体" w:eastAsia="宋体" w:cs="宋体"/>
                <w:color w:val="auto"/>
                <w:sz w:val="24"/>
                <w:highlight w:val="none"/>
              </w:rPr>
              <w:t>7、请拟投标企业检查在企业诚信库中注册登记时填写的统一社会 信用代码是否符合国家规范，不符合规范的企业可能将无法报名， 由此造成的后果由投标人自行承担。</w:t>
            </w:r>
          </w:p>
          <w:p>
            <w:pPr>
              <w:pStyle w:val="44"/>
              <w:tabs>
                <w:tab w:val="left" w:pos="352"/>
              </w:tabs>
              <w:spacing w:before="3" w:line="292" w:lineRule="auto"/>
              <w:ind w:left="109" w:right="-29"/>
              <w:rPr>
                <w:rFonts w:hint="eastAsia" w:ascii="宋体" w:hAnsi="宋体" w:eastAsia="宋体" w:cs="宋体"/>
                <w:b/>
                <w:color w:val="auto"/>
                <w:sz w:val="24"/>
                <w:highlight w:val="none"/>
              </w:rPr>
            </w:pPr>
            <w:r>
              <w:rPr>
                <w:rFonts w:hint="eastAsia" w:ascii="宋体" w:hAnsi="宋体" w:eastAsia="宋体" w:cs="宋体"/>
                <w:color w:val="auto"/>
                <w:sz w:val="24"/>
                <w:highlight w:val="none"/>
              </w:rPr>
              <w:t>8、为确保电梯质量安全达标符合国家质量要求，投标单位所提供的电梯必须为品牌电梯，推荐品牌：奥的斯OTIS、三菱Mitsubishi、日立HITACHI</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蒂</w:t>
            </w:r>
            <w:r>
              <w:rPr>
                <w:rFonts w:hint="eastAsia" w:ascii="宋体" w:hAnsi="宋体" w:eastAsia="宋体" w:cs="宋体"/>
                <w:color w:val="auto"/>
                <w:sz w:val="24"/>
                <w:highlight w:val="none"/>
                <w:lang w:val="en-US" w:eastAsia="zh-CN"/>
              </w:rPr>
              <w:t>升</w:t>
            </w:r>
            <w:r>
              <w:rPr>
                <w:rFonts w:hint="eastAsia" w:ascii="宋体" w:hAnsi="宋体" w:eastAsia="宋体" w:cs="宋体"/>
                <w:color w:val="auto"/>
                <w:sz w:val="24"/>
                <w:highlight w:val="none"/>
              </w:rPr>
              <w:t>TKE</w:t>
            </w:r>
            <w:r>
              <w:rPr>
                <w:rFonts w:hint="eastAsia" w:ascii="宋体" w:hAnsi="宋体" w:eastAsia="宋体" w:cs="宋体"/>
                <w:color w:val="auto"/>
                <w:sz w:val="24"/>
                <w:highlight w:val="none"/>
                <w:lang w:eastAsia="zh-CN"/>
              </w:rPr>
              <w:t>（蒂森克虏伯）</w:t>
            </w:r>
            <w:r>
              <w:rPr>
                <w:rFonts w:hint="eastAsia" w:ascii="宋体" w:hAnsi="宋体" w:eastAsia="宋体" w:cs="宋体"/>
                <w:color w:val="auto"/>
                <w:sz w:val="24"/>
                <w:highlight w:val="none"/>
              </w:rPr>
              <w:t>、通力 KONE、迅达Schindler等一线品牌等。(项目中推荐的品牌并无限制性，若其它品牌参数满足或优于标书中的所述性能和参数，均可参与投标)。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9"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bidi="ar-SA"/>
              </w:rPr>
            </w:pPr>
            <w:r>
              <w:rPr>
                <w:rFonts w:hint="eastAsia" w:ascii="宋体" w:hAnsi="宋体" w:eastAsia="宋体" w:cs="宋体"/>
                <w:color w:val="auto"/>
                <w:sz w:val="24"/>
                <w:szCs w:val="21"/>
                <w:highlight w:val="none"/>
                <w:lang w:val="en-US" w:bidi="ar-SA"/>
              </w:rPr>
              <w:t>35</w:t>
            </w:r>
          </w:p>
        </w:tc>
        <w:tc>
          <w:tcPr>
            <w:tcW w:w="917" w:type="pct"/>
            <w:vAlign w:val="center"/>
          </w:tcPr>
          <w:p>
            <w:pPr>
              <w:autoSpaceDE/>
              <w:autoSpaceDN/>
              <w:adjustRightInd w:val="0"/>
              <w:jc w:val="center"/>
              <w:rPr>
                <w:rFonts w:hint="eastAsia" w:ascii="宋体" w:hAnsi="宋体" w:eastAsia="宋体" w:cs="宋体"/>
                <w:color w:val="auto"/>
                <w:sz w:val="24"/>
                <w:szCs w:val="21"/>
                <w:highlight w:val="none"/>
                <w:lang w:bidi="ar-SA"/>
              </w:rPr>
            </w:pPr>
            <w:r>
              <w:rPr>
                <w:rFonts w:hint="eastAsia" w:ascii="宋体" w:hAnsi="宋体" w:eastAsia="宋体" w:cs="宋体"/>
                <w:color w:val="auto"/>
                <w:sz w:val="24"/>
                <w:szCs w:val="21"/>
                <w:highlight w:val="none"/>
                <w:lang w:val="en-US" w:bidi="ar-SA"/>
              </w:rPr>
              <w:t>招标文件的解释权顺序</w:t>
            </w:r>
          </w:p>
        </w:tc>
        <w:tc>
          <w:tcPr>
            <w:tcW w:w="3667" w:type="pct"/>
            <w:vAlign w:val="center"/>
          </w:tcPr>
          <w:p>
            <w:pPr>
              <w:pStyle w:val="44"/>
              <w:tabs>
                <w:tab w:val="left" w:pos="352"/>
              </w:tabs>
              <w:spacing w:before="3" w:line="292" w:lineRule="auto"/>
              <w:ind w:left="109" w:right="-2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rPr>
              <w:t>1.</w:t>
            </w:r>
            <w:r>
              <w:rPr>
                <w:rFonts w:hint="eastAsia" w:ascii="宋体" w:hAnsi="宋体" w:eastAsia="宋体" w:cs="宋体"/>
                <w:color w:val="auto"/>
                <w:sz w:val="24"/>
                <w:highlight w:val="none"/>
              </w:rPr>
              <w:t>构成本招标文件的各个组成文件应互为解释，互为说明；</w:t>
            </w:r>
          </w:p>
          <w:p>
            <w:pPr>
              <w:pStyle w:val="44"/>
              <w:tabs>
                <w:tab w:val="left" w:pos="352"/>
              </w:tabs>
              <w:spacing w:before="3" w:line="292" w:lineRule="auto"/>
              <w:ind w:left="109" w:right="-2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rPr>
              <w:t>2.</w:t>
            </w:r>
            <w:r>
              <w:rPr>
                <w:rFonts w:hint="eastAsia" w:ascii="宋体" w:hAnsi="宋体" w:eastAsia="宋体" w:cs="宋体"/>
                <w:color w:val="auto"/>
                <w:sz w:val="24"/>
                <w:highlight w:val="none"/>
              </w:rPr>
              <w:t>招标文件约定中如有不明确或不一致的，工程量以工程量清单为准；构成合同组成内容的，以合同文件约定内容为准；</w:t>
            </w:r>
          </w:p>
          <w:p>
            <w:pPr>
              <w:pStyle w:val="44"/>
              <w:tabs>
                <w:tab w:val="left" w:pos="352"/>
              </w:tabs>
              <w:spacing w:before="3" w:line="292" w:lineRule="auto"/>
              <w:ind w:left="109" w:right="-2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rPr>
              <w:t>3.</w:t>
            </w:r>
            <w:r>
              <w:rPr>
                <w:rFonts w:hint="eastAsia" w:ascii="宋体" w:hAnsi="宋体" w:eastAsia="宋体" w:cs="宋体"/>
                <w:color w:val="auto"/>
                <w:sz w:val="24"/>
                <w:highlight w:val="none"/>
              </w:rPr>
              <w:t>除招标文件中有特别规定外，仅适用于招标投标阶段的规定，同一组成文件中就同一事项的规定或约定不一致的，按评标办法、招标公告、投标人须知、投标文件格式的优先顺序解释；</w:t>
            </w:r>
          </w:p>
          <w:p>
            <w:pPr>
              <w:pStyle w:val="44"/>
              <w:tabs>
                <w:tab w:val="left" w:pos="352"/>
              </w:tabs>
              <w:spacing w:before="3" w:line="292" w:lineRule="auto"/>
              <w:ind w:left="109" w:right="-29"/>
              <w:rPr>
                <w:rFonts w:hint="eastAsia" w:ascii="宋体" w:hAnsi="宋体" w:eastAsia="宋体" w:cs="宋体"/>
                <w:b/>
                <w:color w:val="auto"/>
                <w:sz w:val="24"/>
                <w:highlight w:val="none"/>
              </w:rPr>
            </w:pPr>
            <w:r>
              <w:rPr>
                <w:rFonts w:hint="eastAsia" w:ascii="宋体" w:hAnsi="宋体" w:eastAsia="宋体" w:cs="宋体"/>
                <w:color w:val="auto"/>
                <w:sz w:val="24"/>
                <w:highlight w:val="none"/>
                <w:lang w:val="en-US"/>
              </w:rPr>
              <w:t>4.</w:t>
            </w:r>
            <w:r>
              <w:rPr>
                <w:rFonts w:hint="eastAsia" w:ascii="宋体" w:hAnsi="宋体" w:eastAsia="宋体" w:cs="宋体"/>
                <w:color w:val="auto"/>
                <w:sz w:val="24"/>
                <w:highlight w:val="none"/>
              </w:rPr>
              <w:t>按上述规定仍不能形成结论的，由招标人或其委托的招标代理机构负责解释。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bidi="ar-SA"/>
              </w:rPr>
            </w:pPr>
            <w:r>
              <w:rPr>
                <w:rFonts w:hint="eastAsia" w:ascii="宋体" w:hAnsi="宋体" w:eastAsia="宋体" w:cs="宋体"/>
                <w:color w:val="auto"/>
                <w:sz w:val="24"/>
                <w:szCs w:val="21"/>
                <w:highlight w:val="none"/>
                <w:lang w:val="en-US" w:bidi="ar-SA"/>
              </w:rPr>
              <w:t>36</w:t>
            </w:r>
          </w:p>
        </w:tc>
        <w:tc>
          <w:tcPr>
            <w:tcW w:w="917" w:type="pct"/>
            <w:vAlign w:val="center"/>
          </w:tcPr>
          <w:p>
            <w:pPr>
              <w:adjustRightInd w:val="0"/>
              <w:snapToGrid w:val="0"/>
              <w:jc w:val="center"/>
              <w:rPr>
                <w:rFonts w:hint="eastAsia" w:ascii="宋体" w:hAnsi="宋体" w:eastAsia="宋体" w:cs="宋体"/>
                <w:color w:val="auto"/>
                <w:sz w:val="24"/>
                <w:szCs w:val="21"/>
                <w:highlight w:val="none"/>
                <w:lang w:bidi="ar-SA"/>
              </w:rPr>
            </w:pPr>
            <w:r>
              <w:rPr>
                <w:rFonts w:hint="eastAsia" w:ascii="宋体" w:hAnsi="宋体" w:eastAsia="宋体" w:cs="宋体"/>
                <w:color w:val="auto"/>
                <w:sz w:val="24"/>
                <w:szCs w:val="24"/>
                <w:highlight w:val="none"/>
              </w:rPr>
              <w:t>总包服务费</w:t>
            </w:r>
          </w:p>
        </w:tc>
        <w:tc>
          <w:tcPr>
            <w:tcW w:w="3667" w:type="pct"/>
            <w:vAlign w:val="center"/>
          </w:tcPr>
          <w:p>
            <w:pPr>
              <w:adjustRightInd w:val="0"/>
              <w:snapToGrid w:val="0"/>
              <w:jc w:val="both"/>
              <w:rPr>
                <w:rFonts w:hint="eastAsia" w:ascii="宋体" w:hAnsi="宋体" w:eastAsia="宋体" w:cs="宋体"/>
                <w:color w:val="auto"/>
                <w:sz w:val="24"/>
                <w:highlight w:val="none"/>
              </w:rPr>
            </w:pPr>
            <w:r>
              <w:rPr>
                <w:rFonts w:hint="eastAsia" w:ascii="宋体" w:hAnsi="宋体" w:eastAsia="宋体" w:cs="宋体"/>
                <w:b w:val="0"/>
                <w:bCs/>
                <w:color w:val="auto"/>
                <w:sz w:val="24"/>
                <w:szCs w:val="24"/>
                <w:highlight w:val="none"/>
              </w:rPr>
              <w:t>安装工程结算审计价格的 3%（不含设备费）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0" w:hRule="atLeast"/>
        </w:trPr>
        <w:tc>
          <w:tcPr>
            <w:tcW w:w="414" w:type="pct"/>
            <w:vAlign w:val="center"/>
          </w:tcPr>
          <w:p>
            <w:pPr>
              <w:autoSpaceDE/>
              <w:autoSpaceDN/>
              <w:adjustRightInd w:val="0"/>
              <w:jc w:val="center"/>
              <w:rPr>
                <w:rFonts w:hint="eastAsia" w:ascii="宋体" w:hAnsi="宋体" w:eastAsia="宋体" w:cs="宋体"/>
                <w:color w:val="auto"/>
                <w:sz w:val="24"/>
                <w:szCs w:val="21"/>
                <w:highlight w:val="none"/>
                <w:lang w:val="en-US" w:bidi="ar-SA"/>
              </w:rPr>
            </w:pPr>
            <w:r>
              <w:rPr>
                <w:rFonts w:hint="eastAsia" w:ascii="宋体" w:hAnsi="宋体" w:eastAsia="宋体" w:cs="宋体"/>
                <w:color w:val="auto"/>
                <w:sz w:val="24"/>
                <w:szCs w:val="21"/>
                <w:highlight w:val="none"/>
                <w:lang w:val="en-US" w:bidi="ar-SA"/>
              </w:rPr>
              <w:t>37</w:t>
            </w:r>
          </w:p>
        </w:tc>
        <w:tc>
          <w:tcPr>
            <w:tcW w:w="917" w:type="pct"/>
            <w:vAlign w:val="center"/>
          </w:tcPr>
          <w:p>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付款方式</w:t>
            </w:r>
          </w:p>
        </w:tc>
        <w:tc>
          <w:tcPr>
            <w:tcW w:w="3667" w:type="pct"/>
            <w:vAlign w:val="center"/>
          </w:tcPr>
          <w:p>
            <w:pPr>
              <w:spacing w:line="380" w:lineRule="exact"/>
              <w:rPr>
                <w:rFonts w:hint="eastAsia"/>
                <w:highlight w:val="none"/>
                <w:lang w:val="en-US" w:eastAsia="zh-CN"/>
              </w:rPr>
            </w:pPr>
            <w:r>
              <w:rPr>
                <w:rFonts w:hint="eastAsia"/>
                <w:highlight w:val="none"/>
                <w:lang w:val="en-US" w:eastAsia="zh-CN"/>
              </w:rPr>
              <w:t>电梯设备支付方式：</w:t>
            </w:r>
          </w:p>
          <w:p>
            <w:pPr>
              <w:spacing w:line="380" w:lineRule="exact"/>
              <w:rPr>
                <w:rFonts w:hint="eastAsia"/>
                <w:highlight w:val="none"/>
                <w:lang w:val="en-US" w:eastAsia="zh-CN"/>
              </w:rPr>
            </w:pPr>
            <w:r>
              <w:rPr>
                <w:rFonts w:hint="eastAsia"/>
                <w:highlight w:val="none"/>
              </w:rPr>
              <w:t>合同签订后，乙方电梯货到工地并初验合格后30个工作日内，甲方向乙方支付设备款总价的</w:t>
            </w:r>
            <w:r>
              <w:rPr>
                <w:rFonts w:hint="eastAsia"/>
                <w:highlight w:val="none"/>
                <w:lang w:val="en-US" w:eastAsia="zh-CN"/>
              </w:rPr>
              <w:t>67</w:t>
            </w:r>
            <w:r>
              <w:rPr>
                <w:rFonts w:hint="eastAsia"/>
                <w:highlight w:val="none"/>
              </w:rPr>
              <w:t>%，电梯设备安装调试完毕，在当地负责特种设备安全监督管理的部门验收合格之日起30个工作日内，甲方向乙方支付设备款总价的</w:t>
            </w:r>
            <w:r>
              <w:rPr>
                <w:rFonts w:hint="eastAsia"/>
                <w:highlight w:val="none"/>
                <w:lang w:val="en-US" w:eastAsia="zh-CN"/>
              </w:rPr>
              <w:t>30</w:t>
            </w:r>
            <w:r>
              <w:rPr>
                <w:rFonts w:hint="eastAsia"/>
                <w:highlight w:val="none"/>
              </w:rPr>
              <w:t>%，剩余合同总额的</w:t>
            </w:r>
            <w:r>
              <w:rPr>
                <w:rFonts w:hint="eastAsia"/>
                <w:highlight w:val="none"/>
                <w:lang w:val="en-US" w:eastAsia="zh-CN"/>
              </w:rPr>
              <w:t>3</w:t>
            </w:r>
            <w:r>
              <w:rPr>
                <w:rFonts w:hint="eastAsia"/>
                <w:highlight w:val="none"/>
              </w:rPr>
              <w:t>%作为质保金，甲方在质保期满之日起30个工作日内支付（质保期从安装调试完毕经特种设备安全监督管理部门验收合格</w:t>
            </w:r>
            <w:r>
              <w:rPr>
                <w:rFonts w:hint="eastAsia"/>
                <w:highlight w:val="none"/>
                <w:lang w:eastAsia="zh-CN"/>
              </w:rPr>
              <w:t>并交付使用之</w:t>
            </w:r>
            <w:r>
              <w:rPr>
                <w:rFonts w:hint="eastAsia"/>
                <w:highlight w:val="none"/>
              </w:rPr>
              <w:t>日</w:t>
            </w:r>
            <w:r>
              <w:rPr>
                <w:rFonts w:hint="eastAsia"/>
                <w:highlight w:val="none"/>
                <w:lang w:val="en-US" w:eastAsia="zh-CN"/>
              </w:rPr>
              <w:t>起开始计算）</w:t>
            </w:r>
          </w:p>
          <w:p>
            <w:pPr>
              <w:spacing w:line="380" w:lineRule="exact"/>
              <w:rPr>
                <w:rFonts w:hint="eastAsia"/>
                <w:highlight w:val="none"/>
                <w:lang w:val="en-US" w:eastAsia="zh-CN"/>
              </w:rPr>
            </w:pPr>
            <w:r>
              <w:rPr>
                <w:rFonts w:hint="eastAsia"/>
                <w:highlight w:val="none"/>
                <w:lang w:val="en-US" w:eastAsia="zh-CN"/>
              </w:rPr>
              <w:t>电梯安装费支付：</w:t>
            </w:r>
          </w:p>
          <w:p>
            <w:pPr>
              <w:spacing w:line="380" w:lineRule="exact"/>
              <w:rPr>
                <w:rFonts w:hint="eastAsia"/>
                <w:highlight w:val="none"/>
                <w:lang w:eastAsia="zh-CN"/>
              </w:rPr>
            </w:pPr>
            <w:r>
              <w:rPr>
                <w:rFonts w:hint="eastAsia"/>
                <w:highlight w:val="none"/>
              </w:rPr>
              <w:t>电梯设备安装调试完成，在当地负责特种设备安全监督管理的部门验收合格之日起30个工作日内，甲方向乙方支付安装费总额的9</w:t>
            </w:r>
            <w:r>
              <w:rPr>
                <w:rFonts w:hint="eastAsia"/>
                <w:highlight w:val="none"/>
                <w:lang w:val="en-US" w:eastAsia="zh-CN"/>
              </w:rPr>
              <w:t>7</w:t>
            </w:r>
            <w:r>
              <w:rPr>
                <w:rFonts w:hint="eastAsia"/>
                <w:highlight w:val="none"/>
              </w:rPr>
              <w:t>％，剩余安装费总额的</w:t>
            </w:r>
            <w:r>
              <w:rPr>
                <w:rFonts w:hint="eastAsia"/>
                <w:highlight w:val="none"/>
                <w:lang w:val="en-US" w:eastAsia="zh-CN"/>
              </w:rPr>
              <w:t>3</w:t>
            </w:r>
            <w:r>
              <w:rPr>
                <w:rFonts w:hint="eastAsia"/>
                <w:highlight w:val="none"/>
              </w:rPr>
              <w:t>%作为质保金，甲方在质保期满之日起30个工作日内支付（质保期从电梯设备全部安装完毕，当地负责特种设备安全监督管理的部门发放使用许可证</w:t>
            </w:r>
            <w:r>
              <w:rPr>
                <w:rFonts w:hint="eastAsia"/>
                <w:highlight w:val="none"/>
                <w:lang w:eastAsia="zh-CN"/>
              </w:rPr>
              <w:t>并交付使用之</w:t>
            </w:r>
            <w:r>
              <w:rPr>
                <w:rFonts w:hint="eastAsia"/>
                <w:highlight w:val="none"/>
              </w:rPr>
              <w:t>日起计算）</w:t>
            </w:r>
            <w:r>
              <w:rPr>
                <w:rFonts w:hint="eastAsia"/>
                <w:highlight w:val="none"/>
                <w:lang w:eastAsia="zh-CN"/>
              </w:rPr>
              <w:t>。</w:t>
            </w:r>
          </w:p>
          <w:p>
            <w:pPr>
              <w:pStyle w:val="2"/>
              <w:rPr>
                <w:rFonts w:hint="default"/>
                <w:highlight w:val="none"/>
                <w:lang w:val="en-US"/>
              </w:rPr>
            </w:pPr>
            <w:r>
              <w:rPr>
                <w:rFonts w:hint="eastAsia" w:ascii="宋体" w:hAnsi="宋体" w:eastAsia="宋体" w:cs="宋体"/>
                <w:b/>
                <w:bCs/>
                <w:sz w:val="22"/>
                <w:szCs w:val="22"/>
                <w:highlight w:val="none"/>
                <w:lang w:val="en-US" w:eastAsia="zh-CN" w:bidi="zh-CN"/>
              </w:rPr>
              <w:t>备注：枞阳县建设投资有限公司、</w:t>
            </w:r>
            <w:r>
              <w:rPr>
                <w:rFonts w:hint="eastAsia" w:ascii="宋体" w:hAnsi="宋体" w:eastAsia="宋体" w:cs="宋体"/>
                <w:b/>
                <w:bCs/>
                <w:sz w:val="22"/>
                <w:szCs w:val="22"/>
                <w:highlight w:val="none"/>
                <w:lang w:val="zh-CN" w:eastAsia="zh-CN" w:bidi="zh-CN"/>
              </w:rPr>
              <w:t>枞阳县人民医院</w:t>
            </w:r>
            <w:r>
              <w:rPr>
                <w:rFonts w:hint="eastAsia" w:cs="宋体"/>
                <w:b/>
                <w:bCs/>
                <w:sz w:val="22"/>
                <w:szCs w:val="22"/>
                <w:highlight w:val="none"/>
                <w:lang w:val="en-US" w:eastAsia="zh-CN" w:bidi="zh-CN"/>
              </w:rPr>
              <w:t>与</w:t>
            </w:r>
            <w:r>
              <w:rPr>
                <w:rFonts w:hint="eastAsia" w:ascii="宋体" w:hAnsi="宋体" w:eastAsia="宋体" w:cs="宋体"/>
                <w:b/>
                <w:bCs/>
                <w:sz w:val="22"/>
                <w:szCs w:val="22"/>
                <w:highlight w:val="none"/>
                <w:lang w:val="en-US" w:eastAsia="zh-CN" w:bidi="zh-CN"/>
              </w:rPr>
              <w:t>中标人签订三方协议（合同），由</w:t>
            </w:r>
            <w:r>
              <w:rPr>
                <w:rFonts w:hint="eastAsia" w:ascii="宋体" w:hAnsi="宋体" w:eastAsia="宋体" w:cs="宋体"/>
                <w:b/>
                <w:bCs/>
                <w:sz w:val="22"/>
                <w:szCs w:val="22"/>
                <w:highlight w:val="none"/>
                <w:lang w:val="zh-CN" w:eastAsia="zh-CN" w:bidi="zh-CN"/>
              </w:rPr>
              <w:t>枞阳县人民医院</w:t>
            </w:r>
            <w:r>
              <w:rPr>
                <w:rFonts w:hint="eastAsia" w:ascii="宋体" w:hAnsi="宋体" w:eastAsia="宋体" w:cs="宋体"/>
                <w:b/>
                <w:bCs/>
                <w:sz w:val="22"/>
                <w:szCs w:val="22"/>
                <w:highlight w:val="none"/>
                <w:lang w:val="en-US" w:eastAsia="zh-CN" w:bidi="zh-CN"/>
              </w:rPr>
              <w:t>按合同付款方式向中标人支付相应价款。</w:t>
            </w:r>
          </w:p>
        </w:tc>
      </w:tr>
    </w:tbl>
    <w:p>
      <w:pPr>
        <w:pStyle w:val="4"/>
        <w:rPr>
          <w:rFonts w:hint="eastAsia" w:ascii="宋体" w:hAnsi="宋体" w:eastAsia="宋体" w:cs="宋体"/>
          <w:color w:val="auto"/>
          <w:sz w:val="30"/>
          <w:highlight w:val="none"/>
        </w:rPr>
      </w:pPr>
      <w:bookmarkStart w:id="11" w:name="_Toc32484"/>
      <w:bookmarkStart w:id="12" w:name="_Toc6530"/>
    </w:p>
    <w:p>
      <w:pPr>
        <w:pStyle w:val="4"/>
        <w:rPr>
          <w:rFonts w:hint="eastAsia" w:ascii="宋体" w:hAnsi="宋体" w:eastAsia="宋体" w:cs="宋体"/>
          <w:color w:val="auto"/>
          <w:sz w:val="30"/>
          <w:highlight w:val="none"/>
        </w:rPr>
      </w:pPr>
    </w:p>
    <w:p>
      <w:pPr>
        <w:pStyle w:val="4"/>
        <w:rPr>
          <w:rFonts w:hint="eastAsia" w:ascii="宋体" w:hAnsi="宋体" w:eastAsia="宋体" w:cs="宋体"/>
          <w:color w:val="auto"/>
          <w:sz w:val="30"/>
          <w:highlight w:val="none"/>
        </w:rPr>
      </w:pPr>
    </w:p>
    <w:p>
      <w:pPr>
        <w:pStyle w:val="4"/>
        <w:rPr>
          <w:rFonts w:hint="eastAsia" w:ascii="宋体" w:hAnsi="宋体" w:eastAsia="宋体" w:cs="宋体"/>
          <w:color w:val="auto"/>
          <w:sz w:val="30"/>
          <w:highlight w:val="none"/>
        </w:rPr>
      </w:pPr>
    </w:p>
    <w:p>
      <w:pPr>
        <w:pStyle w:val="4"/>
        <w:rPr>
          <w:rFonts w:hint="eastAsia" w:ascii="宋体" w:hAnsi="宋体" w:eastAsia="宋体" w:cs="宋体"/>
          <w:color w:val="auto"/>
          <w:sz w:val="30"/>
          <w:highlight w:val="none"/>
        </w:rPr>
      </w:pPr>
    </w:p>
    <w:p>
      <w:pPr>
        <w:pStyle w:val="4"/>
        <w:rPr>
          <w:rFonts w:hint="eastAsia" w:ascii="宋体" w:hAnsi="宋体" w:eastAsia="宋体" w:cs="宋体"/>
          <w:color w:val="auto"/>
          <w:sz w:val="30"/>
          <w:highlight w:val="none"/>
        </w:rPr>
      </w:pPr>
    </w:p>
    <w:p>
      <w:pPr>
        <w:pStyle w:val="4"/>
        <w:rPr>
          <w:rFonts w:hint="eastAsia" w:ascii="宋体" w:hAnsi="宋体" w:eastAsia="宋体" w:cs="宋体"/>
          <w:color w:val="auto"/>
          <w:sz w:val="30"/>
          <w:highlight w:val="none"/>
        </w:rPr>
      </w:pPr>
    </w:p>
    <w:p>
      <w:pPr>
        <w:pStyle w:val="4"/>
        <w:rPr>
          <w:rFonts w:hint="eastAsia" w:ascii="宋体" w:hAnsi="宋体" w:eastAsia="宋体" w:cs="宋体"/>
          <w:color w:val="auto"/>
          <w:sz w:val="30"/>
          <w:highlight w:val="none"/>
        </w:rPr>
      </w:pPr>
    </w:p>
    <w:p>
      <w:pPr>
        <w:rPr>
          <w:rFonts w:hint="eastAsia" w:ascii="宋体" w:hAnsi="宋体" w:eastAsia="宋体" w:cs="宋体"/>
          <w:color w:val="auto"/>
          <w:sz w:val="30"/>
          <w:highlight w:val="none"/>
        </w:rPr>
      </w:pPr>
    </w:p>
    <w:p>
      <w:pPr>
        <w:pStyle w:val="2"/>
        <w:rPr>
          <w:rFonts w:hint="eastAsia" w:ascii="宋体" w:hAnsi="宋体" w:eastAsia="宋体" w:cs="宋体"/>
          <w:color w:val="auto"/>
          <w:sz w:val="30"/>
          <w:highlight w:val="none"/>
        </w:rPr>
      </w:pPr>
    </w:p>
    <w:p>
      <w:pPr>
        <w:pStyle w:val="3"/>
        <w:rPr>
          <w:rFonts w:hint="eastAsia" w:ascii="宋体" w:hAnsi="宋体" w:eastAsia="宋体" w:cs="宋体"/>
          <w:color w:val="auto"/>
          <w:sz w:val="30"/>
          <w:highlight w:val="none"/>
        </w:rPr>
      </w:pPr>
    </w:p>
    <w:p>
      <w:pPr>
        <w:rPr>
          <w:rFonts w:hint="eastAsia" w:ascii="宋体" w:hAnsi="宋体" w:eastAsia="宋体" w:cs="宋体"/>
          <w:color w:val="auto"/>
          <w:sz w:val="30"/>
          <w:highlight w:val="none"/>
        </w:rPr>
      </w:pPr>
    </w:p>
    <w:p>
      <w:pPr>
        <w:pStyle w:val="3"/>
        <w:rPr>
          <w:rFonts w:hint="eastAsia" w:ascii="宋体" w:hAnsi="宋体" w:eastAsia="宋体" w:cs="宋体"/>
          <w:color w:val="auto"/>
          <w:highlight w:val="none"/>
        </w:rPr>
      </w:pPr>
    </w:p>
    <w:p>
      <w:pPr>
        <w:pStyle w:val="4"/>
        <w:rPr>
          <w:rFonts w:hint="eastAsia" w:ascii="宋体" w:hAnsi="宋体" w:eastAsia="宋体" w:cs="宋体"/>
          <w:color w:val="auto"/>
          <w:sz w:val="30"/>
          <w:highlight w:val="none"/>
        </w:rPr>
      </w:pPr>
    </w:p>
    <w:p>
      <w:pPr>
        <w:rPr>
          <w:rFonts w:hint="eastAsia" w:ascii="宋体" w:hAnsi="宋体" w:eastAsia="宋体" w:cs="宋体"/>
          <w:color w:val="auto"/>
          <w:highlight w:val="none"/>
        </w:rPr>
      </w:pPr>
    </w:p>
    <w:p>
      <w:pPr>
        <w:rPr>
          <w:rFonts w:hint="eastAsia" w:ascii="宋体" w:hAnsi="宋体" w:eastAsia="宋体" w:cs="宋体"/>
          <w:color w:val="auto"/>
          <w:sz w:val="30"/>
          <w:highlight w:val="none"/>
        </w:rPr>
      </w:pPr>
    </w:p>
    <w:p>
      <w:pPr>
        <w:pStyle w:val="2"/>
        <w:rPr>
          <w:rFonts w:hint="eastAsia" w:ascii="宋体" w:hAnsi="宋体" w:eastAsia="宋体" w:cs="宋体"/>
          <w:color w:val="auto"/>
          <w:highlight w:val="none"/>
        </w:rPr>
      </w:pPr>
    </w:p>
    <w:p>
      <w:pPr>
        <w:pStyle w:val="4"/>
        <w:rPr>
          <w:rFonts w:hint="eastAsia" w:ascii="宋体" w:hAnsi="宋体" w:eastAsia="宋体" w:cs="宋体"/>
          <w:color w:val="auto"/>
          <w:sz w:val="30"/>
          <w:highlight w:val="none"/>
        </w:rPr>
      </w:pPr>
      <w:bookmarkStart w:id="13" w:name="_Toc16086"/>
      <w:r>
        <w:rPr>
          <w:rFonts w:hint="eastAsia" w:ascii="宋体" w:hAnsi="宋体" w:eastAsia="宋体" w:cs="宋体"/>
          <w:color w:val="auto"/>
          <w:sz w:val="30"/>
          <w:highlight w:val="none"/>
        </w:rPr>
        <w:t>第三章</w:t>
      </w:r>
      <w:r>
        <w:rPr>
          <w:rFonts w:hint="eastAsia" w:ascii="宋体" w:hAnsi="宋体" w:eastAsia="宋体" w:cs="宋体"/>
          <w:color w:val="auto"/>
          <w:sz w:val="30"/>
          <w:highlight w:val="none"/>
          <w:lang w:val="en-US"/>
        </w:rPr>
        <w:t xml:space="preserve">  </w:t>
      </w:r>
      <w:r>
        <w:rPr>
          <w:rFonts w:hint="eastAsia" w:ascii="宋体" w:hAnsi="宋体" w:eastAsia="宋体" w:cs="宋体"/>
          <w:color w:val="auto"/>
          <w:sz w:val="30"/>
          <w:highlight w:val="none"/>
        </w:rPr>
        <w:t>需补充或改动的格式条款</w:t>
      </w:r>
      <w:bookmarkEnd w:id="11"/>
      <w:bookmarkEnd w:id="12"/>
      <w:bookmarkEnd w:id="13"/>
    </w:p>
    <w:p>
      <w:pPr>
        <w:pStyle w:val="8"/>
        <w:spacing w:line="360" w:lineRule="auto"/>
        <w:ind w:left="0" w:firstLine="47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t>注：招标文件通用部分及专用条款中的格式部分均不得改动，根据项目特点，确需对招标文件相关条款进行补充和改动的，需在此表中注明。</w:t>
      </w:r>
    </w:p>
    <w:p>
      <w:pPr>
        <w:spacing w:line="165" w:lineRule="exact"/>
        <w:rPr>
          <w:rFonts w:hint="eastAsia" w:ascii="宋体" w:hAnsi="宋体" w:eastAsia="宋体" w:cs="宋体"/>
          <w:color w:val="auto"/>
          <w:highlight w:val="none"/>
        </w:rPr>
      </w:pPr>
    </w:p>
    <w:tbl>
      <w:tblPr>
        <w:tblStyle w:val="42"/>
        <w:tblW w:w="9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1468"/>
        <w:gridCol w:w="1497"/>
        <w:gridCol w:w="608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770" w:type="dxa"/>
            <w:vAlign w:val="center"/>
          </w:tcPr>
          <w:p>
            <w:pPr>
              <w:spacing w:before="34" w:line="186" w:lineRule="auto"/>
              <w:ind w:firstLine="180"/>
              <w:jc w:val="center"/>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序号</w:t>
            </w:r>
          </w:p>
        </w:tc>
        <w:tc>
          <w:tcPr>
            <w:tcW w:w="1468" w:type="dxa"/>
            <w:tcBorders>
              <w:bottom w:val="single" w:color="auto" w:sz="4" w:space="0"/>
            </w:tcBorders>
            <w:vAlign w:val="center"/>
          </w:tcPr>
          <w:p>
            <w:pPr>
              <w:spacing w:before="34" w:line="186" w:lineRule="auto"/>
              <w:ind w:firstLine="423"/>
              <w:jc w:val="center"/>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条款号</w:t>
            </w:r>
          </w:p>
        </w:tc>
        <w:tc>
          <w:tcPr>
            <w:tcW w:w="1497" w:type="dxa"/>
            <w:tcBorders>
              <w:bottom w:val="single" w:color="auto" w:sz="4" w:space="0"/>
            </w:tcBorders>
            <w:vAlign w:val="center"/>
          </w:tcPr>
          <w:p>
            <w:pPr>
              <w:spacing w:before="34" w:line="186" w:lineRule="auto"/>
              <w:ind w:firstLine="335"/>
              <w:jc w:val="center"/>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条款名称</w:t>
            </w:r>
          </w:p>
        </w:tc>
        <w:tc>
          <w:tcPr>
            <w:tcW w:w="6085" w:type="dxa"/>
            <w:tcBorders>
              <w:bottom w:val="single" w:color="auto" w:sz="4" w:space="0"/>
            </w:tcBorders>
            <w:vAlign w:val="center"/>
          </w:tcPr>
          <w:p>
            <w:pPr>
              <w:spacing w:before="34" w:line="186" w:lineRule="auto"/>
              <w:ind w:firstLine="2529"/>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改动的条款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770" w:type="dxa"/>
            <w:tcBorders>
              <w:right w:val="single" w:color="auto" w:sz="4" w:space="0"/>
            </w:tcBorders>
            <w:vAlign w:val="top"/>
          </w:tcPr>
          <w:p>
            <w:pPr>
              <w:rPr>
                <w:rFonts w:hint="eastAsia" w:ascii="宋体" w:hAnsi="宋体" w:eastAsia="宋体" w:cs="宋体"/>
                <w:color w:val="auto"/>
                <w:sz w:val="24"/>
                <w:szCs w:val="24"/>
                <w:highlight w:val="none"/>
              </w:rPr>
            </w:pPr>
          </w:p>
          <w:p>
            <w:pPr>
              <w:bidi w:val="0"/>
              <w:rPr>
                <w:rFonts w:hint="eastAsia" w:ascii="宋体" w:hAnsi="宋体" w:eastAsia="宋体" w:cs="宋体"/>
                <w:color w:val="auto"/>
                <w:sz w:val="24"/>
                <w:szCs w:val="24"/>
                <w:highlight w:val="none"/>
                <w:lang w:val="zh-CN" w:eastAsia="zh-CN"/>
              </w:rPr>
            </w:pPr>
          </w:p>
          <w:p>
            <w:pPr>
              <w:bidi w:val="0"/>
              <w:rPr>
                <w:rFonts w:hint="eastAsia" w:ascii="宋体" w:hAnsi="宋体" w:eastAsia="宋体" w:cs="宋体"/>
                <w:color w:val="auto"/>
                <w:sz w:val="24"/>
                <w:szCs w:val="24"/>
                <w:highlight w:val="none"/>
                <w:lang w:val="zh-CN" w:eastAsia="zh-CN"/>
              </w:rPr>
            </w:pPr>
          </w:p>
          <w:p>
            <w:pPr>
              <w:bidi w:val="0"/>
              <w:rPr>
                <w:rFonts w:hint="eastAsia" w:ascii="宋体" w:hAnsi="宋体" w:eastAsia="宋体" w:cs="宋体"/>
                <w:color w:val="auto"/>
                <w:sz w:val="24"/>
                <w:szCs w:val="24"/>
                <w:highlight w:val="none"/>
                <w:lang w:val="zh-CN" w:eastAsia="zh-CN"/>
              </w:rPr>
            </w:pPr>
          </w:p>
          <w:p>
            <w:pPr>
              <w:bidi w:val="0"/>
              <w:rPr>
                <w:rFonts w:hint="eastAsia" w:ascii="宋体" w:hAnsi="宋体" w:eastAsia="宋体" w:cs="宋体"/>
                <w:color w:val="auto"/>
                <w:sz w:val="24"/>
                <w:szCs w:val="24"/>
                <w:highlight w:val="none"/>
                <w:lang w:val="zh-CN" w:eastAsia="zh-CN"/>
              </w:rPr>
            </w:pPr>
          </w:p>
          <w:p>
            <w:pPr>
              <w:bidi w:val="0"/>
              <w:rPr>
                <w:rFonts w:hint="eastAsia" w:ascii="宋体" w:hAnsi="宋体" w:eastAsia="宋体" w:cs="宋体"/>
                <w:color w:val="auto"/>
                <w:sz w:val="24"/>
                <w:szCs w:val="24"/>
                <w:highlight w:val="none"/>
                <w:lang w:val="zh-CN" w:eastAsia="zh-CN"/>
              </w:rPr>
            </w:pPr>
          </w:p>
          <w:p>
            <w:pPr>
              <w:bidi w:val="0"/>
              <w:rPr>
                <w:rFonts w:hint="eastAsia" w:ascii="宋体" w:hAnsi="宋体" w:eastAsia="宋体" w:cs="宋体"/>
                <w:color w:val="auto"/>
                <w:sz w:val="24"/>
                <w:szCs w:val="24"/>
                <w:highlight w:val="none"/>
                <w:lang w:val="zh-CN" w:eastAsia="zh-CN"/>
              </w:rPr>
            </w:pPr>
          </w:p>
          <w:p>
            <w:pPr>
              <w:bidi w:val="0"/>
              <w:rPr>
                <w:rFonts w:hint="eastAsia" w:ascii="宋体" w:hAnsi="宋体" w:eastAsia="宋体" w:cs="宋体"/>
                <w:color w:val="auto"/>
                <w:sz w:val="24"/>
                <w:szCs w:val="24"/>
                <w:highlight w:val="none"/>
                <w:lang w:val="zh-CN" w:eastAsia="zh-CN"/>
              </w:rPr>
            </w:pPr>
          </w:p>
          <w:p>
            <w:pPr>
              <w:bidi w:val="0"/>
              <w:rPr>
                <w:rFonts w:hint="eastAsia" w:ascii="宋体" w:hAnsi="宋体" w:eastAsia="宋体" w:cs="宋体"/>
                <w:color w:val="auto"/>
                <w:sz w:val="24"/>
                <w:szCs w:val="24"/>
                <w:highlight w:val="none"/>
                <w:lang w:val="zh-CN" w:eastAsia="zh-CN"/>
              </w:rPr>
            </w:pPr>
          </w:p>
          <w:p>
            <w:pPr>
              <w:bidi w:val="0"/>
              <w:rPr>
                <w:rFonts w:hint="eastAsia" w:ascii="宋体" w:hAnsi="宋体" w:eastAsia="宋体" w:cs="宋体"/>
                <w:color w:val="auto"/>
                <w:sz w:val="24"/>
                <w:szCs w:val="24"/>
                <w:highlight w:val="none"/>
                <w:lang w:val="zh-CN" w:eastAsia="zh-CN"/>
              </w:rPr>
            </w:pPr>
          </w:p>
          <w:p>
            <w:pPr>
              <w:bidi w:val="0"/>
              <w:rPr>
                <w:rFonts w:hint="eastAsia" w:ascii="宋体" w:hAnsi="宋体" w:eastAsia="宋体" w:cs="宋体"/>
                <w:color w:val="auto"/>
                <w:sz w:val="24"/>
                <w:szCs w:val="24"/>
                <w:highlight w:val="none"/>
                <w:lang w:val="zh-CN" w:eastAsia="zh-CN"/>
              </w:rPr>
            </w:pPr>
          </w:p>
          <w:p>
            <w:pPr>
              <w:bidi w:val="0"/>
              <w:rPr>
                <w:rFonts w:hint="eastAsia" w:ascii="宋体" w:hAnsi="宋体" w:eastAsia="宋体" w:cs="宋体"/>
                <w:color w:val="auto"/>
                <w:sz w:val="24"/>
                <w:szCs w:val="24"/>
                <w:highlight w:val="none"/>
                <w:lang w:val="zh-CN" w:eastAsia="zh-CN"/>
              </w:rPr>
            </w:pPr>
          </w:p>
          <w:p>
            <w:pPr>
              <w:bidi w:val="0"/>
              <w:rPr>
                <w:rFonts w:hint="eastAsia" w:ascii="宋体" w:hAnsi="宋体" w:eastAsia="宋体" w:cs="宋体"/>
                <w:color w:val="auto"/>
                <w:sz w:val="24"/>
                <w:szCs w:val="24"/>
                <w:highlight w:val="none"/>
                <w:lang w:val="zh-CN" w:eastAsia="zh-CN"/>
              </w:rPr>
            </w:pPr>
          </w:p>
          <w:p>
            <w:pPr>
              <w:bidi w:val="0"/>
              <w:rPr>
                <w:rFonts w:hint="eastAsia" w:ascii="宋体" w:hAnsi="宋体" w:eastAsia="宋体" w:cs="宋体"/>
                <w:color w:val="auto"/>
                <w:sz w:val="24"/>
                <w:szCs w:val="24"/>
                <w:highlight w:val="none"/>
                <w:lang w:val="zh-CN" w:eastAsia="zh-CN"/>
              </w:rPr>
            </w:pPr>
          </w:p>
          <w:p>
            <w:pPr>
              <w:bidi w:val="0"/>
              <w:rPr>
                <w:rFonts w:hint="eastAsia" w:ascii="宋体" w:hAnsi="宋体" w:eastAsia="宋体" w:cs="宋体"/>
                <w:color w:val="auto"/>
                <w:sz w:val="24"/>
                <w:szCs w:val="24"/>
                <w:highlight w:val="none"/>
                <w:lang w:val="zh-CN" w:eastAsia="zh-CN"/>
              </w:rPr>
            </w:pPr>
          </w:p>
          <w:p>
            <w:pPr>
              <w:bidi w:val="0"/>
              <w:rPr>
                <w:rFonts w:hint="eastAsia" w:ascii="宋体" w:hAnsi="宋体" w:eastAsia="宋体" w:cs="宋体"/>
                <w:color w:val="auto"/>
                <w:sz w:val="24"/>
                <w:szCs w:val="24"/>
                <w:highlight w:val="none"/>
                <w:lang w:val="zh-CN" w:eastAsia="zh-CN"/>
              </w:rPr>
            </w:pPr>
          </w:p>
          <w:p>
            <w:pPr>
              <w:bidi w:val="0"/>
              <w:rPr>
                <w:rFonts w:hint="eastAsia" w:ascii="宋体" w:hAnsi="宋体" w:eastAsia="宋体" w:cs="宋体"/>
                <w:color w:val="auto"/>
                <w:sz w:val="24"/>
                <w:szCs w:val="24"/>
                <w:highlight w:val="none"/>
                <w:lang w:val="zh-CN" w:eastAsia="zh-CN"/>
              </w:rPr>
            </w:pPr>
          </w:p>
          <w:p>
            <w:pPr>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468" w:type="dxa"/>
            <w:tcBorders>
              <w:top w:val="single" w:color="auto" w:sz="4" w:space="0"/>
              <w:left w:val="single" w:color="auto" w:sz="4" w:space="0"/>
              <w:bottom w:val="single" w:color="auto" w:sz="4" w:space="0"/>
            </w:tcBorders>
            <w:vAlign w:val="center"/>
          </w:tcPr>
          <w:p>
            <w:pPr>
              <w:numPr>
                <w:ilvl w:val="0"/>
                <w:numId w:val="0"/>
              </w:numPr>
              <w:spacing w:before="188" w:line="359" w:lineRule="auto"/>
              <w:ind w:right="43" w:rightChars="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下篇《通用部分》“第一章投标须知”</w:t>
            </w:r>
          </w:p>
        </w:tc>
        <w:tc>
          <w:tcPr>
            <w:tcW w:w="1497" w:type="dxa"/>
            <w:tcBorders>
              <w:top w:val="single" w:color="auto" w:sz="4" w:space="0"/>
              <w:bottom w:val="single" w:color="auto" w:sz="4" w:space="0"/>
            </w:tcBorders>
            <w:vAlign w:val="center"/>
          </w:tcPr>
          <w:p>
            <w:pPr>
              <w:numPr>
                <w:ilvl w:val="0"/>
                <w:numId w:val="0"/>
              </w:numPr>
              <w:spacing w:before="188" w:line="359" w:lineRule="auto"/>
              <w:ind w:right="43" w:rightChars="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第 1</w:t>
            </w:r>
            <w:r>
              <w:rPr>
                <w:rFonts w:hint="eastAsia" w:ascii="宋体" w:hAnsi="宋体" w:eastAsia="宋体" w:cs="宋体"/>
                <w:color w:val="auto"/>
                <w:spacing w:val="-6"/>
                <w:sz w:val="24"/>
                <w:szCs w:val="24"/>
                <w:highlight w:val="none"/>
                <w:lang w:val="en-US" w:eastAsia="zh-CN"/>
              </w:rPr>
              <w:t>1</w:t>
            </w:r>
            <w:r>
              <w:rPr>
                <w:rFonts w:hint="eastAsia" w:ascii="宋体" w:hAnsi="宋体" w:eastAsia="宋体" w:cs="宋体"/>
                <w:color w:val="auto"/>
                <w:spacing w:val="-6"/>
                <w:sz w:val="24"/>
                <w:szCs w:val="24"/>
                <w:highlight w:val="none"/>
              </w:rPr>
              <w:t>.4“投标报价编制依据”</w:t>
            </w:r>
          </w:p>
        </w:tc>
        <w:tc>
          <w:tcPr>
            <w:tcW w:w="6085" w:type="dxa"/>
            <w:tcBorders>
              <w:top w:val="single" w:color="auto" w:sz="4" w:space="0"/>
              <w:bottom w:val="single" w:color="auto" w:sz="4" w:space="0"/>
              <w:right w:val="single" w:color="auto" w:sz="4" w:space="0"/>
            </w:tcBorders>
            <w:vAlign w:val="top"/>
          </w:tcPr>
          <w:p>
            <w:pPr>
              <w:numPr>
                <w:ilvl w:val="0"/>
                <w:numId w:val="0"/>
              </w:numPr>
              <w:spacing w:before="188" w:line="359" w:lineRule="auto"/>
              <w:ind w:right="43" w:rightChars="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增加：</w:t>
            </w:r>
          </w:p>
          <w:p>
            <w:pPr>
              <w:numPr>
                <w:ilvl w:val="0"/>
                <w:numId w:val="0"/>
              </w:numPr>
              <w:spacing w:before="188" w:line="359" w:lineRule="auto"/>
              <w:ind w:right="43" w:rightChars="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eastAsia="zh-CN"/>
              </w:rPr>
              <w:t>1.</w:t>
            </w:r>
            <w:r>
              <w:rPr>
                <w:rFonts w:hint="eastAsia" w:ascii="宋体" w:hAnsi="宋体" w:eastAsia="宋体" w:cs="宋体"/>
                <w:color w:val="auto"/>
                <w:spacing w:val="-6"/>
                <w:sz w:val="24"/>
                <w:szCs w:val="24"/>
                <w:highlight w:val="none"/>
              </w:rPr>
              <w:t>材料、设备价格参考并结合市场价由投标人自行报价。</w:t>
            </w:r>
          </w:p>
          <w:p>
            <w:pPr>
              <w:numPr>
                <w:ilvl w:val="0"/>
                <w:numId w:val="0"/>
              </w:numPr>
              <w:spacing w:before="188" w:line="359" w:lineRule="auto"/>
              <w:ind w:right="43" w:rightChars="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eastAsia="zh-CN"/>
              </w:rPr>
              <w:t>2.</w:t>
            </w:r>
            <w:r>
              <w:rPr>
                <w:rFonts w:hint="eastAsia" w:ascii="宋体" w:hAnsi="宋体" w:eastAsia="宋体" w:cs="宋体"/>
                <w:color w:val="auto"/>
                <w:spacing w:val="-6"/>
                <w:sz w:val="24"/>
                <w:szCs w:val="24"/>
                <w:highlight w:val="none"/>
              </w:rPr>
              <w:t>投标人的投标报价须包含安全生产、文明施工及文明创建的所有费用，中标后发包人不因此而支付任何额外费用。</w:t>
            </w:r>
          </w:p>
          <w:p>
            <w:pPr>
              <w:numPr>
                <w:ilvl w:val="0"/>
                <w:numId w:val="0"/>
              </w:numPr>
              <w:spacing w:before="188" w:line="359" w:lineRule="auto"/>
              <w:ind w:right="43" w:rightChars="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3.投标人应对施工现场做仔细了解，施工时不得以不完全了解现场情况为由，提出任何形式的增加工程造价或索赔的要求。</w:t>
            </w:r>
          </w:p>
          <w:p>
            <w:pPr>
              <w:numPr>
                <w:ilvl w:val="0"/>
                <w:numId w:val="0"/>
              </w:numPr>
              <w:spacing w:before="188" w:line="359" w:lineRule="auto"/>
              <w:ind w:right="43" w:rightChars="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4.投标人的投标报价应是完成招标工程量清单所列招标工程范围内容的全部以及完成上述内容所必须的附属工程、临时工程等，招标人要求施工单位能够做到安全生产、文明施工。投标</w:t>
            </w:r>
            <w:r>
              <w:rPr>
                <w:rFonts w:hint="eastAsia" w:ascii="宋体" w:hAnsi="宋体" w:eastAsia="宋体" w:cs="宋体"/>
                <w:color w:val="auto"/>
                <w:spacing w:val="-6"/>
                <w:sz w:val="24"/>
                <w:szCs w:val="24"/>
                <w:highlight w:val="none"/>
                <w:lang w:eastAsia="zh-CN"/>
              </w:rPr>
              <w:t>人</w:t>
            </w:r>
            <w:r>
              <w:rPr>
                <w:rFonts w:hint="eastAsia" w:ascii="宋体" w:hAnsi="宋体" w:eastAsia="宋体" w:cs="宋体"/>
                <w:color w:val="auto"/>
                <w:spacing w:val="-6"/>
                <w:sz w:val="24"/>
                <w:szCs w:val="24"/>
                <w:highlight w:val="none"/>
              </w:rPr>
              <w:t>应自行进行现场踏勘，对工程的地理位置，施工现场情况和影响的因素以及困难条件进行周密的勘察和研究（包括但不限于共用操作面、脚手架、垂直运输、临时场地</w:t>
            </w:r>
            <w:r>
              <w:rPr>
                <w:rFonts w:hint="eastAsia" w:ascii="宋体" w:hAnsi="宋体" w:eastAsia="宋体" w:cs="宋体"/>
                <w:color w:val="auto"/>
                <w:spacing w:val="-6"/>
                <w:sz w:val="24"/>
                <w:szCs w:val="24"/>
                <w:highlight w:val="none"/>
                <w:lang w:eastAsia="zh-CN"/>
              </w:rPr>
              <w:t>、临时道路</w:t>
            </w:r>
            <w:r>
              <w:rPr>
                <w:rFonts w:hint="eastAsia" w:ascii="宋体" w:hAnsi="宋体" w:eastAsia="宋体" w:cs="宋体"/>
                <w:color w:val="auto"/>
                <w:spacing w:val="-6"/>
                <w:sz w:val="24"/>
                <w:szCs w:val="24"/>
                <w:highlight w:val="none"/>
              </w:rPr>
              <w:t>等</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做出自己的判断、结论和估价，投标报价时要充分考虑上述因素。中标后，签订合同时和施工过程中，投标</w:t>
            </w:r>
            <w:r>
              <w:rPr>
                <w:rFonts w:hint="eastAsia" w:ascii="宋体" w:hAnsi="宋体" w:eastAsia="宋体" w:cs="宋体"/>
                <w:color w:val="auto"/>
                <w:spacing w:val="-6"/>
                <w:sz w:val="24"/>
                <w:szCs w:val="24"/>
                <w:highlight w:val="none"/>
                <w:lang w:eastAsia="zh-CN"/>
              </w:rPr>
              <w:t>人</w:t>
            </w:r>
            <w:r>
              <w:rPr>
                <w:rFonts w:hint="eastAsia" w:ascii="宋体" w:hAnsi="宋体" w:eastAsia="宋体" w:cs="宋体"/>
                <w:color w:val="auto"/>
                <w:spacing w:val="-6"/>
                <w:sz w:val="24"/>
                <w:szCs w:val="24"/>
                <w:highlight w:val="none"/>
              </w:rPr>
              <w:t>不得以不完全了解现场情况为由，提出任何形式的增加工程造价或索赔的要求。本工程为“交钥匙”工程</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投标人的报价应是</w:t>
            </w:r>
            <w:r>
              <w:rPr>
                <w:rFonts w:hint="eastAsia" w:ascii="宋体" w:hAnsi="宋体" w:eastAsia="宋体" w:cs="宋体"/>
                <w:color w:val="auto"/>
                <w:spacing w:val="-6"/>
                <w:sz w:val="24"/>
                <w:szCs w:val="24"/>
                <w:highlight w:val="none"/>
                <w:lang w:val="en-US" w:eastAsia="zh-CN"/>
              </w:rPr>
              <w:t>电梯</w:t>
            </w:r>
            <w:r>
              <w:rPr>
                <w:rFonts w:hint="eastAsia" w:ascii="宋体" w:hAnsi="宋体" w:eastAsia="宋体" w:cs="宋体"/>
                <w:color w:val="auto"/>
                <w:spacing w:val="-6"/>
                <w:sz w:val="24"/>
                <w:szCs w:val="24"/>
                <w:highlight w:val="none"/>
              </w:rPr>
              <w:t>设备</w:t>
            </w:r>
            <w:r>
              <w:rPr>
                <w:rFonts w:hint="eastAsia" w:ascii="宋体" w:hAnsi="宋体" w:eastAsia="宋体" w:cs="宋体"/>
                <w:color w:val="auto"/>
                <w:spacing w:val="-6"/>
                <w:sz w:val="24"/>
                <w:szCs w:val="24"/>
                <w:highlight w:val="none"/>
                <w:lang w:val="en-US" w:eastAsia="zh-CN"/>
              </w:rPr>
              <w:t>采购安装</w:t>
            </w:r>
            <w:r>
              <w:rPr>
                <w:rFonts w:hint="eastAsia" w:ascii="宋体" w:hAnsi="宋体" w:eastAsia="宋体" w:cs="宋体"/>
                <w:color w:val="auto"/>
                <w:spacing w:val="-6"/>
                <w:sz w:val="24"/>
                <w:szCs w:val="24"/>
                <w:highlight w:val="none"/>
                <w:lang w:eastAsia="zh-CN"/>
              </w:rPr>
              <w:t>验收合格并移交使用及完成售后服务的全部</w:t>
            </w:r>
            <w:r>
              <w:rPr>
                <w:rFonts w:hint="eastAsia" w:ascii="宋体" w:hAnsi="宋体" w:eastAsia="宋体" w:cs="宋体"/>
                <w:color w:val="auto"/>
                <w:spacing w:val="-6"/>
                <w:sz w:val="24"/>
                <w:szCs w:val="24"/>
                <w:highlight w:val="none"/>
              </w:rPr>
              <w:t>内容的价格体现（</w:t>
            </w:r>
            <w:r>
              <w:rPr>
                <w:rFonts w:hint="eastAsia" w:ascii="宋体" w:hAnsi="宋体" w:eastAsia="宋体" w:cs="宋体"/>
                <w:color w:val="auto"/>
                <w:spacing w:val="-6"/>
                <w:sz w:val="24"/>
                <w:szCs w:val="24"/>
                <w:highlight w:val="none"/>
                <w:lang w:eastAsia="zh-CN"/>
              </w:rPr>
              <w:t>包括但不限于</w:t>
            </w:r>
            <w:r>
              <w:rPr>
                <w:rFonts w:hint="eastAsia" w:ascii="宋体" w:hAnsi="宋体" w:eastAsia="宋体" w:cs="宋体"/>
                <w:color w:val="auto"/>
                <w:spacing w:val="-6"/>
                <w:sz w:val="24"/>
                <w:szCs w:val="24"/>
                <w:highlight w:val="none"/>
              </w:rPr>
              <w:t>成套的设备费、</w:t>
            </w:r>
            <w:r>
              <w:rPr>
                <w:rFonts w:hint="eastAsia" w:ascii="宋体" w:hAnsi="宋体" w:eastAsia="宋体" w:cs="宋体"/>
                <w:color w:val="auto"/>
                <w:spacing w:val="-6"/>
                <w:sz w:val="24"/>
                <w:szCs w:val="24"/>
                <w:highlight w:val="none"/>
                <w:lang w:eastAsia="zh-CN"/>
              </w:rPr>
              <w:t>安装调试费、</w:t>
            </w:r>
            <w:r>
              <w:rPr>
                <w:rFonts w:hint="eastAsia" w:ascii="宋体" w:hAnsi="宋体" w:eastAsia="宋体" w:cs="宋体"/>
                <w:color w:val="auto"/>
                <w:spacing w:val="-6"/>
                <w:sz w:val="24"/>
                <w:szCs w:val="24"/>
                <w:highlight w:val="none"/>
              </w:rPr>
              <w:t>备品备件费、各种税费、检测费、</w:t>
            </w:r>
            <w:r>
              <w:rPr>
                <w:rFonts w:hint="eastAsia" w:ascii="宋体" w:hAnsi="宋体" w:eastAsia="宋体" w:cs="宋体"/>
                <w:color w:val="auto"/>
                <w:spacing w:val="-6"/>
                <w:sz w:val="24"/>
                <w:szCs w:val="24"/>
                <w:highlight w:val="none"/>
                <w:lang w:eastAsia="zh-CN"/>
              </w:rPr>
              <w:t>验收费</w:t>
            </w:r>
            <w:r>
              <w:rPr>
                <w:rFonts w:hint="eastAsia"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包装费、运杂费、装卸及保险费、培训费</w:t>
            </w:r>
            <w:r>
              <w:rPr>
                <w:rFonts w:hint="eastAsia" w:cs="宋体"/>
                <w:color w:val="auto"/>
                <w:spacing w:val="-6"/>
                <w:sz w:val="24"/>
                <w:szCs w:val="24"/>
                <w:highlight w:val="none"/>
                <w:lang w:eastAsia="zh-CN"/>
              </w:rPr>
              <w:t>、</w:t>
            </w:r>
            <w:r>
              <w:rPr>
                <w:rFonts w:hint="eastAsia" w:ascii="宋体" w:hAnsi="宋体" w:eastAsia="宋体" w:cs="宋体"/>
                <w:color w:val="auto"/>
                <w:spacing w:val="-6"/>
                <w:sz w:val="24"/>
                <w:szCs w:val="24"/>
                <w:highlight w:val="none"/>
                <w:lang w:eastAsia="zh-CN"/>
              </w:rPr>
              <w:t>质保期维修维保</w:t>
            </w:r>
            <w:r>
              <w:rPr>
                <w:rFonts w:hint="eastAsia" w:cs="宋体"/>
                <w:color w:val="auto"/>
                <w:spacing w:val="-6"/>
                <w:sz w:val="24"/>
                <w:szCs w:val="24"/>
                <w:highlight w:val="none"/>
                <w:lang w:eastAsia="zh-CN"/>
              </w:rPr>
              <w:t>费</w:t>
            </w:r>
            <w:r>
              <w:rPr>
                <w:rFonts w:hint="eastAsia" w:ascii="宋体" w:hAnsi="宋体" w:eastAsia="宋体" w:cs="宋体"/>
                <w:color w:val="auto"/>
                <w:spacing w:val="-6"/>
                <w:sz w:val="24"/>
                <w:szCs w:val="24"/>
                <w:highlight w:val="none"/>
                <w:lang w:eastAsia="zh-CN"/>
              </w:rPr>
              <w:t>、总包服务费，</w:t>
            </w:r>
            <w:r>
              <w:rPr>
                <w:rFonts w:hint="eastAsia" w:ascii="宋体" w:hAnsi="宋体" w:eastAsia="宋体" w:cs="宋体"/>
                <w:color w:val="auto"/>
                <w:spacing w:val="-6"/>
                <w:sz w:val="24"/>
                <w:szCs w:val="24"/>
                <w:highlight w:val="none"/>
              </w:rPr>
              <w:t>井道调整</w:t>
            </w:r>
            <w:r>
              <w:rPr>
                <w:rFonts w:hint="eastAsia" w:ascii="宋体" w:hAnsi="宋体" w:eastAsia="宋体" w:cs="宋体"/>
                <w:color w:val="auto"/>
                <w:spacing w:val="-6"/>
                <w:sz w:val="24"/>
                <w:szCs w:val="24"/>
                <w:highlight w:val="none"/>
                <w:lang w:eastAsia="zh-CN"/>
              </w:rPr>
              <w:t>加建</w:t>
            </w:r>
            <w:r>
              <w:rPr>
                <w:rFonts w:hint="eastAsia" w:ascii="宋体" w:hAnsi="宋体" w:eastAsia="宋体" w:cs="宋体"/>
                <w:color w:val="auto"/>
                <w:spacing w:val="-6"/>
                <w:sz w:val="24"/>
                <w:szCs w:val="24"/>
                <w:highlight w:val="none"/>
              </w:rPr>
              <w:t>费用</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井道</w:t>
            </w:r>
            <w:r>
              <w:rPr>
                <w:rFonts w:hint="eastAsia" w:cs="宋体"/>
                <w:color w:val="auto"/>
                <w:spacing w:val="-6"/>
                <w:sz w:val="24"/>
                <w:szCs w:val="24"/>
                <w:highlight w:val="none"/>
                <w:lang w:eastAsia="zh-CN"/>
              </w:rPr>
              <w:t>土建</w:t>
            </w:r>
            <w:r>
              <w:rPr>
                <w:rFonts w:hint="eastAsia" w:ascii="宋体" w:hAnsi="宋体" w:eastAsia="宋体" w:cs="宋体"/>
                <w:color w:val="auto"/>
                <w:spacing w:val="-6"/>
                <w:sz w:val="24"/>
                <w:szCs w:val="24"/>
                <w:highlight w:val="none"/>
              </w:rPr>
              <w:t>按</w:t>
            </w:r>
            <w:r>
              <w:rPr>
                <w:rFonts w:hint="eastAsia" w:ascii="宋体" w:hAnsi="宋体" w:eastAsia="宋体" w:cs="宋体"/>
                <w:color w:val="auto"/>
                <w:spacing w:val="-6"/>
                <w:sz w:val="24"/>
                <w:szCs w:val="24"/>
                <w:highlight w:val="none"/>
                <w:lang w:eastAsia="zh-CN"/>
              </w:rPr>
              <w:t>建筑</w:t>
            </w:r>
            <w:r>
              <w:rPr>
                <w:rFonts w:hint="eastAsia" w:ascii="宋体" w:hAnsi="宋体" w:eastAsia="宋体" w:cs="宋体"/>
                <w:color w:val="auto"/>
                <w:spacing w:val="-6"/>
                <w:sz w:val="24"/>
                <w:szCs w:val="24"/>
                <w:highlight w:val="none"/>
              </w:rPr>
              <w:t>施工图纸设计</w:t>
            </w:r>
            <w:r>
              <w:rPr>
                <w:rFonts w:hint="eastAsia" w:ascii="宋体" w:hAnsi="宋体" w:eastAsia="宋体" w:cs="宋体"/>
                <w:color w:val="auto"/>
                <w:spacing w:val="-6"/>
                <w:sz w:val="24"/>
                <w:szCs w:val="24"/>
                <w:highlight w:val="none"/>
                <w:lang w:eastAsia="zh-CN"/>
              </w:rPr>
              <w:t>施工</w:t>
            </w:r>
            <w:r>
              <w:rPr>
                <w:rFonts w:hint="eastAsia" w:cs="宋体"/>
                <w:color w:val="auto"/>
                <w:spacing w:val="-6"/>
                <w:sz w:val="24"/>
                <w:szCs w:val="24"/>
                <w:highlight w:val="none"/>
                <w:lang w:eastAsia="zh-CN"/>
              </w:rPr>
              <w:t>，填充墙圈梁按中标人要求设置</w:t>
            </w:r>
            <w:r>
              <w:rPr>
                <w:rFonts w:hint="eastAsia" w:ascii="宋体" w:hAnsi="宋体" w:eastAsia="宋体" w:cs="宋体"/>
                <w:color w:val="auto"/>
                <w:spacing w:val="-6"/>
                <w:sz w:val="24"/>
                <w:szCs w:val="24"/>
                <w:highlight w:val="none"/>
                <w:lang w:eastAsia="zh-CN"/>
              </w:rPr>
              <w:t>），机房的支撑梁施工，</w:t>
            </w:r>
            <w:r>
              <w:rPr>
                <w:rFonts w:hint="eastAsia" w:ascii="宋体" w:hAnsi="宋体" w:eastAsia="宋体" w:cs="宋体"/>
                <w:color w:val="auto"/>
                <w:spacing w:val="-6"/>
                <w:sz w:val="24"/>
                <w:szCs w:val="24"/>
                <w:highlight w:val="none"/>
              </w:rPr>
              <w:t>基坑缓冲器砼墩</w:t>
            </w:r>
            <w:r>
              <w:rPr>
                <w:rFonts w:hint="eastAsia" w:ascii="宋体" w:hAnsi="宋体" w:eastAsia="宋体" w:cs="宋体"/>
                <w:color w:val="auto"/>
                <w:spacing w:val="-6"/>
                <w:sz w:val="24"/>
                <w:szCs w:val="24"/>
                <w:highlight w:val="none"/>
                <w:lang w:eastAsia="zh-CN"/>
              </w:rPr>
              <w:t>，井道照明</w:t>
            </w:r>
            <w:r>
              <w:rPr>
                <w:rFonts w:hint="eastAsia" w:ascii="宋体" w:hAnsi="宋体" w:eastAsia="宋体" w:cs="宋体"/>
                <w:color w:val="auto"/>
                <w:spacing w:val="-6"/>
                <w:sz w:val="24"/>
                <w:szCs w:val="24"/>
                <w:highlight w:val="none"/>
              </w:rPr>
              <w:t>及爬梯，</w:t>
            </w:r>
            <w:r>
              <w:rPr>
                <w:rFonts w:hint="eastAsia" w:ascii="宋体" w:hAnsi="宋体" w:eastAsia="宋体" w:cs="宋体"/>
                <w:color w:val="auto"/>
                <w:spacing w:val="-6"/>
                <w:sz w:val="24"/>
                <w:szCs w:val="24"/>
                <w:highlight w:val="none"/>
                <w:lang w:eastAsia="zh-CN"/>
              </w:rPr>
              <w:t>门套灌浆固定、封堵，井道砌体及混凝土凿除、开孔及封堵及其他</w:t>
            </w:r>
            <w:r>
              <w:rPr>
                <w:rFonts w:hint="eastAsia" w:ascii="宋体" w:hAnsi="宋体" w:eastAsia="宋体" w:cs="宋体"/>
                <w:color w:val="auto"/>
                <w:spacing w:val="-6"/>
                <w:sz w:val="24"/>
                <w:szCs w:val="24"/>
                <w:highlight w:val="none"/>
              </w:rPr>
              <w:t>土建</w:t>
            </w:r>
            <w:r>
              <w:rPr>
                <w:rFonts w:hint="eastAsia" w:ascii="宋体" w:hAnsi="宋体" w:eastAsia="宋体" w:cs="宋体"/>
                <w:color w:val="auto"/>
                <w:spacing w:val="-6"/>
                <w:sz w:val="24"/>
                <w:szCs w:val="24"/>
                <w:highlight w:val="none"/>
                <w:lang w:eastAsia="zh-CN"/>
              </w:rPr>
              <w:t>总包</w:t>
            </w:r>
            <w:r>
              <w:rPr>
                <w:rFonts w:hint="eastAsia" w:ascii="宋体" w:hAnsi="宋体" w:eastAsia="宋体" w:cs="宋体"/>
                <w:color w:val="auto"/>
                <w:spacing w:val="-6"/>
                <w:sz w:val="24"/>
                <w:szCs w:val="24"/>
                <w:highlight w:val="none"/>
              </w:rPr>
              <w:t>配合</w:t>
            </w:r>
            <w:r>
              <w:rPr>
                <w:rFonts w:hint="eastAsia" w:ascii="宋体" w:hAnsi="宋体" w:eastAsia="宋体" w:cs="宋体"/>
                <w:color w:val="auto"/>
                <w:spacing w:val="-6"/>
                <w:sz w:val="24"/>
                <w:szCs w:val="24"/>
                <w:highlight w:val="none"/>
                <w:lang w:eastAsia="zh-CN"/>
              </w:rPr>
              <w:t>等建筑施工图纸未涉及的相关</w:t>
            </w:r>
            <w:r>
              <w:rPr>
                <w:rFonts w:hint="eastAsia" w:ascii="宋体" w:hAnsi="宋体" w:eastAsia="宋体" w:cs="宋体"/>
                <w:color w:val="auto"/>
                <w:spacing w:val="-6"/>
                <w:sz w:val="24"/>
                <w:szCs w:val="24"/>
                <w:highlight w:val="none"/>
              </w:rPr>
              <w:t>费</w:t>
            </w:r>
            <w:r>
              <w:rPr>
                <w:rFonts w:hint="eastAsia" w:ascii="宋体" w:hAnsi="宋体" w:eastAsia="宋体" w:cs="宋体"/>
                <w:color w:val="auto"/>
                <w:spacing w:val="-6"/>
                <w:sz w:val="24"/>
                <w:szCs w:val="24"/>
                <w:highlight w:val="none"/>
                <w:lang w:eastAsia="zh-CN"/>
              </w:rPr>
              <w:t>用），</w:t>
            </w:r>
            <w:r>
              <w:rPr>
                <w:rFonts w:hint="eastAsia" w:ascii="宋体" w:hAnsi="宋体" w:eastAsia="宋体" w:cs="宋体"/>
                <w:color w:val="auto"/>
                <w:spacing w:val="-6"/>
                <w:sz w:val="24"/>
                <w:szCs w:val="24"/>
                <w:highlight w:val="none"/>
              </w:rPr>
              <w:t>所发生的一切费用，</w:t>
            </w:r>
            <w:r>
              <w:rPr>
                <w:rFonts w:hint="eastAsia" w:ascii="宋体" w:hAnsi="宋体" w:eastAsia="宋体" w:cs="宋体"/>
                <w:color w:val="auto"/>
                <w:spacing w:val="-6"/>
                <w:sz w:val="24"/>
                <w:szCs w:val="24"/>
                <w:highlight w:val="none"/>
                <w:lang w:eastAsia="zh-CN"/>
              </w:rPr>
              <w:t>均</w:t>
            </w:r>
            <w:r>
              <w:rPr>
                <w:rFonts w:hint="eastAsia" w:ascii="宋体" w:hAnsi="宋体" w:eastAsia="宋体" w:cs="宋体"/>
                <w:color w:val="auto"/>
                <w:spacing w:val="-6"/>
                <w:sz w:val="24"/>
                <w:szCs w:val="24"/>
                <w:highlight w:val="none"/>
              </w:rPr>
              <w:t>包含在投标报价中</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中标后签订合同时和施工过程中，投标</w:t>
            </w:r>
            <w:r>
              <w:rPr>
                <w:rFonts w:hint="eastAsia" w:ascii="宋体" w:hAnsi="宋体" w:eastAsia="宋体" w:cs="宋体"/>
                <w:color w:val="auto"/>
                <w:spacing w:val="-6"/>
                <w:sz w:val="24"/>
                <w:szCs w:val="24"/>
                <w:highlight w:val="none"/>
                <w:lang w:eastAsia="zh-CN"/>
              </w:rPr>
              <w:t>人</w:t>
            </w:r>
            <w:r>
              <w:rPr>
                <w:rFonts w:hint="eastAsia" w:ascii="宋体" w:hAnsi="宋体" w:eastAsia="宋体" w:cs="宋体"/>
                <w:color w:val="auto"/>
                <w:spacing w:val="-6"/>
                <w:sz w:val="24"/>
                <w:szCs w:val="24"/>
                <w:highlight w:val="none"/>
              </w:rPr>
              <w:t>不得以</w:t>
            </w:r>
            <w:r>
              <w:rPr>
                <w:rFonts w:hint="eastAsia" w:ascii="宋体" w:hAnsi="宋体" w:eastAsia="宋体" w:cs="宋体"/>
                <w:color w:val="auto"/>
                <w:spacing w:val="-6"/>
                <w:sz w:val="24"/>
                <w:szCs w:val="24"/>
                <w:highlight w:val="none"/>
                <w:lang w:eastAsia="zh-CN"/>
              </w:rPr>
              <w:t>任何理由</w:t>
            </w:r>
            <w:r>
              <w:rPr>
                <w:rFonts w:hint="eastAsia" w:ascii="宋体" w:hAnsi="宋体" w:eastAsia="宋体" w:cs="宋体"/>
                <w:color w:val="auto"/>
                <w:spacing w:val="-6"/>
                <w:sz w:val="24"/>
                <w:szCs w:val="24"/>
                <w:highlight w:val="none"/>
              </w:rPr>
              <w:t>提出任何形式的增加</w:t>
            </w:r>
            <w:r>
              <w:rPr>
                <w:rFonts w:hint="eastAsia" w:ascii="宋体" w:hAnsi="宋体" w:eastAsia="宋体" w:cs="宋体"/>
                <w:color w:val="auto"/>
                <w:spacing w:val="-6"/>
                <w:sz w:val="24"/>
                <w:szCs w:val="24"/>
                <w:highlight w:val="none"/>
                <w:lang w:eastAsia="zh-CN"/>
              </w:rPr>
              <w:t>费用</w:t>
            </w:r>
            <w:r>
              <w:rPr>
                <w:rFonts w:hint="eastAsia" w:ascii="宋体" w:hAnsi="宋体" w:eastAsia="宋体" w:cs="宋体"/>
                <w:color w:val="auto"/>
                <w:spacing w:val="-6"/>
                <w:sz w:val="24"/>
                <w:szCs w:val="24"/>
                <w:highlight w:val="none"/>
              </w:rPr>
              <w:t>或索赔的要求。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770" w:type="dxa"/>
            <w:tcBorders>
              <w:right w:val="single" w:color="auto" w:sz="4" w:space="0"/>
            </w:tcBorders>
            <w:vAlign w:val="top"/>
          </w:tcPr>
          <w:p>
            <w:pPr>
              <w:bidi w:val="0"/>
              <w:jc w:val="center"/>
              <w:rPr>
                <w:rFonts w:hint="eastAsia" w:ascii="宋体" w:hAnsi="宋体" w:eastAsia="宋体" w:cs="宋体"/>
                <w:color w:val="auto"/>
                <w:sz w:val="24"/>
                <w:szCs w:val="24"/>
                <w:highlight w:val="none"/>
                <w:lang w:val="en-US" w:eastAsia="zh-CN"/>
              </w:rPr>
            </w:pPr>
          </w:p>
        </w:tc>
        <w:tc>
          <w:tcPr>
            <w:tcW w:w="1468" w:type="dxa"/>
            <w:tcBorders>
              <w:top w:val="single" w:color="auto" w:sz="4" w:space="0"/>
              <w:left w:val="single" w:color="auto" w:sz="4" w:space="0"/>
              <w:bottom w:val="single" w:color="auto" w:sz="4" w:space="0"/>
            </w:tcBorders>
            <w:vAlign w:val="center"/>
          </w:tcPr>
          <w:p>
            <w:pPr>
              <w:spacing w:before="69" w:line="186" w:lineRule="auto"/>
              <w:ind w:firstLine="118"/>
              <w:rPr>
                <w:rFonts w:hint="eastAsia" w:ascii="宋体" w:hAnsi="宋体" w:eastAsia="宋体" w:cs="宋体"/>
                <w:color w:val="auto"/>
                <w:spacing w:val="-4"/>
                <w:sz w:val="24"/>
                <w:szCs w:val="24"/>
                <w:highlight w:val="none"/>
              </w:rPr>
            </w:pPr>
            <w:r>
              <w:rPr>
                <w:rFonts w:hint="eastAsia" w:ascii="宋体" w:hAnsi="宋体" w:eastAsia="宋体" w:cs="宋体"/>
                <w:color w:val="auto"/>
                <w:spacing w:val="9"/>
                <w:sz w:val="24"/>
                <w:szCs w:val="24"/>
                <w:highlight w:val="none"/>
              </w:rPr>
              <w:t>下篇《通用部分》“第一章投标须知”</w:t>
            </w:r>
          </w:p>
        </w:tc>
        <w:tc>
          <w:tcPr>
            <w:tcW w:w="1497" w:type="dxa"/>
            <w:tcBorders>
              <w:top w:val="single" w:color="auto" w:sz="4" w:space="0"/>
              <w:bottom w:val="single" w:color="auto" w:sz="4" w:space="0"/>
            </w:tcBorders>
            <w:vAlign w:val="center"/>
          </w:tcPr>
          <w:p>
            <w:pPr>
              <w:spacing w:before="69" w:line="186" w:lineRule="auto"/>
              <w:ind w:firstLine="113"/>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第</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11"/>
                <w:sz w:val="24"/>
                <w:szCs w:val="24"/>
                <w:highlight w:val="none"/>
              </w:rPr>
              <w:t>1</w:t>
            </w:r>
            <w:r>
              <w:rPr>
                <w:rFonts w:hint="eastAsia" w:ascii="宋体" w:hAnsi="宋体" w:eastAsia="宋体" w:cs="宋体"/>
                <w:color w:val="auto"/>
                <w:spacing w:val="-11"/>
                <w:sz w:val="24"/>
                <w:szCs w:val="24"/>
                <w:highlight w:val="none"/>
                <w:lang w:val="en-US" w:eastAsia="zh-CN"/>
              </w:rPr>
              <w:t>1</w:t>
            </w:r>
            <w:r>
              <w:rPr>
                <w:rFonts w:hint="eastAsia" w:ascii="宋体" w:hAnsi="宋体" w:eastAsia="宋体" w:cs="宋体"/>
                <w:color w:val="auto"/>
                <w:spacing w:val="-11"/>
                <w:sz w:val="24"/>
                <w:szCs w:val="24"/>
                <w:highlight w:val="none"/>
              </w:rPr>
              <w:t>.5</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1"/>
                <w:sz w:val="24"/>
                <w:szCs w:val="24"/>
                <w:highlight w:val="none"/>
              </w:rPr>
              <w:t>条“投</w:t>
            </w:r>
            <w:r>
              <w:rPr>
                <w:rFonts w:hint="eastAsia" w:ascii="宋体" w:hAnsi="宋体" w:eastAsia="宋体" w:cs="宋体"/>
                <w:color w:val="auto"/>
                <w:spacing w:val="-1"/>
                <w:sz w:val="24"/>
                <w:szCs w:val="24"/>
                <w:highlight w:val="none"/>
              </w:rPr>
              <w:t>标人的费用项</w:t>
            </w:r>
            <w:r>
              <w:rPr>
                <w:rFonts w:hint="eastAsia" w:ascii="宋体" w:hAnsi="宋体" w:eastAsia="宋体" w:cs="宋体"/>
                <w:color w:val="auto"/>
                <w:spacing w:val="9"/>
                <w:sz w:val="24"/>
                <w:szCs w:val="24"/>
                <w:highlight w:val="none"/>
              </w:rPr>
              <w:t>目编制原则”</w:t>
            </w:r>
          </w:p>
        </w:tc>
        <w:tc>
          <w:tcPr>
            <w:tcW w:w="6085" w:type="dxa"/>
            <w:tcBorders>
              <w:top w:val="single" w:color="auto" w:sz="4" w:space="0"/>
              <w:bottom w:val="single" w:color="auto" w:sz="4" w:space="0"/>
              <w:right w:val="single" w:color="auto" w:sz="4" w:space="0"/>
            </w:tcBorders>
            <w:vAlign w:val="top"/>
          </w:tcPr>
          <w:p>
            <w:pPr>
              <w:numPr>
                <w:ilvl w:val="0"/>
                <w:numId w:val="0"/>
              </w:numPr>
              <w:spacing w:before="188" w:line="359" w:lineRule="auto"/>
              <w:ind w:right="43" w:rightChars="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1、对于受施工现场场地限制，可能需要另外寻找场地解决临时住宿、材料及设备堆放，</w:t>
            </w:r>
            <w:r>
              <w:rPr>
                <w:rFonts w:hint="eastAsia" w:ascii="宋体" w:hAnsi="宋体" w:eastAsia="宋体" w:cs="宋体"/>
                <w:color w:val="auto"/>
                <w:spacing w:val="-6"/>
                <w:sz w:val="24"/>
                <w:szCs w:val="24"/>
                <w:highlight w:val="none"/>
                <w:lang w:eastAsia="zh-CN"/>
              </w:rPr>
              <w:t>该项工作有中标人负责，</w:t>
            </w:r>
            <w:r>
              <w:rPr>
                <w:rFonts w:hint="eastAsia" w:ascii="宋体" w:hAnsi="宋体" w:eastAsia="宋体" w:cs="宋体"/>
                <w:color w:val="auto"/>
                <w:spacing w:val="-6"/>
                <w:sz w:val="24"/>
                <w:szCs w:val="24"/>
                <w:highlight w:val="none"/>
              </w:rPr>
              <w:t>由此所产生的费用应包含在投标报价范围内，招标人不再承担该费用。</w:t>
            </w:r>
          </w:p>
          <w:p>
            <w:pPr>
              <w:numPr>
                <w:ilvl w:val="0"/>
                <w:numId w:val="0"/>
              </w:numPr>
              <w:spacing w:before="188" w:line="359" w:lineRule="auto"/>
              <w:ind w:right="43" w:rightChars="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2.由于本工程是重点工程之一，投标人应自行勘察现场，掌握现在在建工程施工进度， 分析如何与在建工程施工单位办理工序交接、工作面交接等，做到能施工的先施工、要分区分块分片施工、要交叉施工、多班制轮换作业施工，需采购的设备（材料） 要提前采购，确保人材机及资金投入充足，确保按期保质完工，不得以任何理由延误合同工期。合同工期以中标通知书发放次天开始计算。</w:t>
            </w:r>
          </w:p>
          <w:p>
            <w:pPr>
              <w:numPr>
                <w:ilvl w:val="0"/>
                <w:numId w:val="0"/>
              </w:numPr>
              <w:spacing w:before="188" w:line="359" w:lineRule="auto"/>
              <w:ind w:right="43" w:rightChars="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3.投标人全部工作完工后须确保通过特种设备安全监督管理部门验收合格，否则承包人应无条件按要求整改直至验收合格，同时发包人有权追</w:t>
            </w:r>
            <w:r>
              <w:rPr>
                <w:rFonts w:hint="eastAsia" w:ascii="宋体" w:hAnsi="宋体" w:eastAsia="宋体" w:cs="宋体"/>
                <w:color w:val="auto"/>
                <w:spacing w:val="-6"/>
                <w:sz w:val="24"/>
                <w:szCs w:val="24"/>
                <w:highlight w:val="none"/>
                <w:lang w:eastAsia="zh-CN"/>
              </w:rPr>
              <w:t>究</w:t>
            </w:r>
            <w:r>
              <w:rPr>
                <w:rFonts w:hint="eastAsia" w:ascii="宋体" w:hAnsi="宋体" w:eastAsia="宋体" w:cs="宋体"/>
                <w:color w:val="auto"/>
                <w:spacing w:val="-6"/>
                <w:sz w:val="24"/>
                <w:szCs w:val="24"/>
                <w:highlight w:val="none"/>
              </w:rPr>
              <w:t>承包人经济责任及其它相关责任。</w:t>
            </w:r>
          </w:p>
          <w:p>
            <w:pPr>
              <w:numPr>
                <w:ilvl w:val="0"/>
                <w:numId w:val="0"/>
              </w:numPr>
              <w:spacing w:before="188" w:line="359" w:lineRule="auto"/>
              <w:ind w:right="43" w:rightChars="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4.本工程免费质保期最低为</w:t>
            </w:r>
            <w:r>
              <w:rPr>
                <w:rFonts w:hint="eastAsia" w:ascii="宋体" w:hAnsi="宋体" w:eastAsia="宋体" w:cs="宋体"/>
                <w:color w:val="auto"/>
                <w:spacing w:val="-6"/>
                <w:sz w:val="24"/>
                <w:szCs w:val="24"/>
                <w:highlight w:val="none"/>
                <w:lang w:val="en-US" w:eastAsia="zh-CN"/>
              </w:rPr>
              <w:t>2</w:t>
            </w:r>
            <w:r>
              <w:rPr>
                <w:rFonts w:hint="eastAsia" w:ascii="宋体" w:hAnsi="宋体" w:eastAsia="宋体" w:cs="宋体"/>
                <w:color w:val="auto"/>
                <w:spacing w:val="-6"/>
                <w:sz w:val="24"/>
                <w:szCs w:val="24"/>
                <w:highlight w:val="none"/>
              </w:rPr>
              <w:t>年，投标人在此基础上自行承诺。</w:t>
            </w:r>
          </w:p>
          <w:p>
            <w:pPr>
              <w:numPr>
                <w:ilvl w:val="0"/>
                <w:numId w:val="0"/>
              </w:numPr>
              <w:spacing w:before="188" w:line="359" w:lineRule="auto"/>
              <w:ind w:right="43" w:rightChars="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5.电梯设备电源自行接入业主指定电源箱，报价时要考虑此费用。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770" w:type="dxa"/>
            <w:tcBorders>
              <w:right w:val="single" w:color="auto" w:sz="4" w:space="0"/>
            </w:tcBorders>
            <w:vAlign w:val="top"/>
          </w:tcPr>
          <w:p>
            <w:pPr>
              <w:bidi w:val="0"/>
              <w:jc w:val="center"/>
              <w:rPr>
                <w:rFonts w:hint="eastAsia" w:ascii="宋体" w:hAnsi="宋体" w:eastAsia="宋体" w:cs="宋体"/>
                <w:color w:val="auto"/>
                <w:sz w:val="24"/>
                <w:szCs w:val="24"/>
                <w:highlight w:val="none"/>
                <w:lang w:val="en-US" w:eastAsia="zh-CN"/>
              </w:rPr>
            </w:pPr>
          </w:p>
        </w:tc>
        <w:tc>
          <w:tcPr>
            <w:tcW w:w="1468" w:type="dxa"/>
            <w:tcBorders>
              <w:top w:val="single" w:color="auto" w:sz="4" w:space="0"/>
              <w:left w:val="single" w:color="auto" w:sz="4" w:space="0"/>
              <w:bottom w:val="single" w:color="auto" w:sz="4" w:space="0"/>
            </w:tcBorders>
            <w:vAlign w:val="center"/>
          </w:tcPr>
          <w:p>
            <w:pPr>
              <w:spacing w:before="68" w:line="186" w:lineRule="auto"/>
              <w:ind w:firstLine="118"/>
              <w:jc w:val="center"/>
              <w:rPr>
                <w:rFonts w:hint="eastAsia" w:ascii="宋体" w:hAnsi="宋体" w:eastAsia="宋体" w:cs="宋体"/>
                <w:color w:val="auto"/>
                <w:spacing w:val="19"/>
                <w:sz w:val="24"/>
                <w:szCs w:val="24"/>
                <w:highlight w:val="none"/>
              </w:rPr>
            </w:pPr>
            <w:r>
              <w:rPr>
                <w:rFonts w:hint="eastAsia" w:ascii="宋体" w:hAnsi="宋体" w:eastAsia="宋体" w:cs="宋体"/>
                <w:color w:val="auto"/>
                <w:spacing w:val="-2"/>
                <w:sz w:val="24"/>
                <w:szCs w:val="24"/>
                <w:highlight w:val="none"/>
              </w:rPr>
              <w:t>重要提示</w:t>
            </w:r>
          </w:p>
        </w:tc>
        <w:tc>
          <w:tcPr>
            <w:tcW w:w="1497" w:type="dxa"/>
            <w:tcBorders>
              <w:top w:val="single" w:color="auto" w:sz="4" w:space="0"/>
              <w:bottom w:val="single" w:color="auto" w:sz="4" w:space="0"/>
            </w:tcBorders>
            <w:vAlign w:val="center"/>
          </w:tcPr>
          <w:p>
            <w:pPr>
              <w:spacing w:before="68" w:line="186" w:lineRule="auto"/>
              <w:ind w:firstLine="113"/>
              <w:jc w:val="center"/>
              <w:rPr>
                <w:rFonts w:hint="eastAsia" w:ascii="宋体" w:hAnsi="宋体" w:eastAsia="宋体" w:cs="宋体"/>
                <w:color w:val="auto"/>
                <w:spacing w:val="9"/>
                <w:sz w:val="24"/>
                <w:szCs w:val="24"/>
                <w:highlight w:val="none"/>
              </w:rPr>
            </w:pPr>
          </w:p>
        </w:tc>
        <w:tc>
          <w:tcPr>
            <w:tcW w:w="6085" w:type="dxa"/>
            <w:tcBorders>
              <w:top w:val="single" w:color="auto" w:sz="4" w:space="0"/>
              <w:bottom w:val="single" w:color="auto" w:sz="4" w:space="0"/>
              <w:right w:val="single" w:color="auto" w:sz="4" w:space="0"/>
            </w:tcBorders>
            <w:vAlign w:val="top"/>
          </w:tcPr>
          <w:p>
            <w:pPr>
              <w:numPr>
                <w:ilvl w:val="0"/>
                <w:numId w:val="0"/>
              </w:numPr>
              <w:spacing w:before="188" w:line="359" w:lineRule="auto"/>
              <w:ind w:right="43" w:rightChars="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投标人应仔细阅读招标文件，了解拟投标合同段的全部工程内容。投标人的投标报价应是招标文件所确定的招标范围内全部工程内容的价格体现，但其投标报价不得低于投标人个别成本价。投标人的投标报价，应是在满足招标文件规定工期、质量要求下，完成本篇投标须知</w:t>
            </w:r>
            <w:r>
              <w:rPr>
                <w:rFonts w:hint="eastAsia" w:ascii="宋体" w:hAnsi="宋体" w:eastAsia="宋体" w:cs="宋体"/>
                <w:color w:val="auto"/>
                <w:spacing w:val="-6"/>
                <w:sz w:val="24"/>
                <w:szCs w:val="24"/>
                <w:highlight w:val="none"/>
                <w:lang w:eastAsia="zh-CN"/>
              </w:rPr>
              <w:t>、招标需求</w:t>
            </w:r>
            <w:r>
              <w:rPr>
                <w:rFonts w:hint="eastAsia" w:ascii="宋体" w:hAnsi="宋体" w:eastAsia="宋体" w:cs="宋体"/>
                <w:color w:val="auto"/>
                <w:spacing w:val="-6"/>
                <w:sz w:val="24"/>
                <w:szCs w:val="24"/>
                <w:highlight w:val="none"/>
              </w:rPr>
              <w:t>及合同条款上所列招标工程范围的全部工作。</w:t>
            </w:r>
          </w:p>
          <w:p>
            <w:pPr>
              <w:numPr>
                <w:ilvl w:val="0"/>
                <w:numId w:val="0"/>
              </w:numPr>
              <w:spacing w:before="188" w:line="359" w:lineRule="auto"/>
              <w:ind w:right="43" w:rightChars="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2 、投标人应根据当前建设市场行情，结合工程实际情况及本单位的施工方法、材料来源渠道、施工机械装备、施工管理水平等，对投标费用进行分析、测算，实事求是地确定投标报价，任何投标优惠都体现在报价内。招标人不要求投标人采用总价优惠或以总价百分比优惠的方式进行投标报价，其优惠应该直接体现在各项投标报价的综合单价中。投标人不得以自有机械闲置、自有材料等不计成本为由进行投标报价。</w:t>
            </w:r>
          </w:p>
          <w:p>
            <w:pPr>
              <w:numPr>
                <w:ilvl w:val="0"/>
                <w:numId w:val="0"/>
              </w:numPr>
              <w:spacing w:before="188" w:line="359" w:lineRule="auto"/>
              <w:ind w:right="43" w:rightChars="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3、投标人应按照招标文件给定的设备数量、技术参数分项报出成套设备的单价、总价</w:t>
            </w:r>
            <w:r>
              <w:rPr>
                <w:rFonts w:hint="eastAsia" w:ascii="宋体" w:hAnsi="宋体" w:eastAsia="宋体" w:cs="宋体"/>
                <w:color w:val="auto"/>
                <w:spacing w:val="-6"/>
                <w:sz w:val="24"/>
                <w:szCs w:val="24"/>
                <w:highlight w:val="none"/>
                <w:lang w:eastAsia="zh-CN"/>
              </w:rPr>
              <w:t>及</w:t>
            </w:r>
            <w:r>
              <w:rPr>
                <w:rFonts w:hint="eastAsia" w:ascii="宋体" w:hAnsi="宋体" w:eastAsia="宋体" w:cs="宋体"/>
                <w:strike w:val="0"/>
                <w:dstrike w:val="0"/>
                <w:color w:val="auto"/>
                <w:spacing w:val="-6"/>
                <w:sz w:val="24"/>
                <w:szCs w:val="24"/>
                <w:highlight w:val="none"/>
              </w:rPr>
              <w:t>电梯安装费用（</w:t>
            </w:r>
            <w:r>
              <w:rPr>
                <w:rFonts w:hint="eastAsia" w:ascii="宋体" w:hAnsi="宋体" w:eastAsia="宋体" w:cs="宋体"/>
                <w:strike w:val="0"/>
                <w:dstrike w:val="0"/>
                <w:color w:val="auto"/>
                <w:spacing w:val="-6"/>
                <w:sz w:val="24"/>
                <w:szCs w:val="24"/>
                <w:highlight w:val="none"/>
                <w:lang w:eastAsia="zh-CN"/>
              </w:rPr>
              <w:t>交钥匙工程</w:t>
            </w:r>
            <w:r>
              <w:rPr>
                <w:rFonts w:hint="eastAsia" w:ascii="宋体" w:hAnsi="宋体" w:eastAsia="宋体" w:cs="宋体"/>
                <w:strike w:val="0"/>
                <w:dstrike w:val="0"/>
                <w:color w:val="auto"/>
                <w:spacing w:val="-6"/>
                <w:sz w:val="24"/>
                <w:szCs w:val="24"/>
                <w:highlight w:val="none"/>
              </w:rPr>
              <w:t>），</w:t>
            </w:r>
            <w:r>
              <w:rPr>
                <w:rFonts w:hint="eastAsia" w:ascii="宋体" w:hAnsi="宋体" w:eastAsia="宋体" w:cs="宋体"/>
                <w:color w:val="auto"/>
                <w:spacing w:val="-6"/>
                <w:sz w:val="24"/>
                <w:szCs w:val="24"/>
                <w:highlight w:val="none"/>
              </w:rPr>
              <w:t>中标人须提前配合土建方井道施工，以确保不出现偏差，中标人中标后需与土建施工单位配合进行井道尺寸交接，确认【双方签署交接确认函】，</w:t>
            </w:r>
            <w:r>
              <w:rPr>
                <w:rFonts w:hint="eastAsia" w:ascii="宋体" w:hAnsi="宋体" w:eastAsia="宋体" w:cs="宋体"/>
                <w:color w:val="auto"/>
                <w:spacing w:val="-6"/>
                <w:sz w:val="24"/>
                <w:szCs w:val="24"/>
                <w:highlight w:val="none"/>
                <w:lang w:eastAsia="zh-CN"/>
              </w:rPr>
              <w:t>并承担电梯底坑、机房、</w:t>
            </w:r>
            <w:r>
              <w:rPr>
                <w:rFonts w:hint="eastAsia" w:ascii="宋体" w:hAnsi="宋体" w:eastAsia="宋体" w:cs="宋体"/>
                <w:color w:val="auto"/>
                <w:spacing w:val="-6"/>
                <w:sz w:val="24"/>
                <w:szCs w:val="24"/>
                <w:highlight w:val="none"/>
              </w:rPr>
              <w:t>井道调整</w:t>
            </w:r>
            <w:r>
              <w:rPr>
                <w:rFonts w:hint="eastAsia" w:ascii="宋体" w:hAnsi="宋体" w:eastAsia="宋体" w:cs="宋体"/>
                <w:color w:val="auto"/>
                <w:spacing w:val="-6"/>
                <w:sz w:val="24"/>
                <w:szCs w:val="24"/>
                <w:highlight w:val="none"/>
                <w:lang w:eastAsia="zh-CN"/>
              </w:rPr>
              <w:t>加建或改造</w:t>
            </w:r>
            <w:r>
              <w:rPr>
                <w:rFonts w:hint="eastAsia" w:ascii="宋体" w:hAnsi="宋体" w:eastAsia="宋体" w:cs="宋体"/>
                <w:color w:val="auto"/>
                <w:spacing w:val="-6"/>
                <w:sz w:val="24"/>
                <w:szCs w:val="24"/>
                <w:highlight w:val="none"/>
              </w:rPr>
              <w:t>费用</w:t>
            </w:r>
            <w:r>
              <w:rPr>
                <w:rFonts w:hint="eastAsia" w:ascii="宋体" w:hAnsi="宋体" w:eastAsia="宋体" w:cs="宋体"/>
                <w:color w:val="auto"/>
                <w:spacing w:val="-6"/>
                <w:sz w:val="24"/>
                <w:szCs w:val="24"/>
                <w:highlight w:val="none"/>
                <w:lang w:eastAsia="zh-CN"/>
              </w:rPr>
              <w:t>，承担</w:t>
            </w:r>
            <w:r>
              <w:rPr>
                <w:rFonts w:hint="eastAsia" w:ascii="宋体" w:hAnsi="宋体" w:eastAsia="宋体" w:cs="宋体"/>
                <w:color w:val="auto"/>
                <w:spacing w:val="-6"/>
                <w:sz w:val="24"/>
                <w:szCs w:val="24"/>
                <w:highlight w:val="none"/>
              </w:rPr>
              <w:t>电梯</w:t>
            </w:r>
            <w:r>
              <w:rPr>
                <w:rFonts w:hint="eastAsia" w:ascii="宋体" w:hAnsi="宋体" w:eastAsia="宋体" w:cs="宋体"/>
                <w:color w:val="auto"/>
                <w:spacing w:val="-6"/>
                <w:sz w:val="24"/>
                <w:szCs w:val="24"/>
                <w:highlight w:val="none"/>
                <w:lang w:eastAsia="zh-CN"/>
              </w:rPr>
              <w:t>吊运、</w:t>
            </w:r>
            <w:r>
              <w:rPr>
                <w:rFonts w:hint="eastAsia" w:ascii="宋体" w:hAnsi="宋体" w:eastAsia="宋体" w:cs="宋体"/>
                <w:color w:val="auto"/>
                <w:spacing w:val="-6"/>
                <w:sz w:val="24"/>
                <w:szCs w:val="24"/>
                <w:highlight w:val="none"/>
              </w:rPr>
              <w:t>调试、相关部门检测验收合格准许运行的所有费用，以及</w:t>
            </w:r>
            <w:r>
              <w:rPr>
                <w:rFonts w:hint="eastAsia" w:ascii="宋体" w:hAnsi="宋体" w:eastAsia="宋体" w:cs="宋体"/>
                <w:color w:val="auto"/>
                <w:spacing w:val="-6"/>
                <w:sz w:val="24"/>
                <w:szCs w:val="24"/>
                <w:highlight w:val="none"/>
                <w:lang w:eastAsia="zh-CN"/>
              </w:rPr>
              <w:t>总包方的</w:t>
            </w:r>
            <w:r>
              <w:rPr>
                <w:rFonts w:hint="eastAsia" w:ascii="宋体" w:hAnsi="宋体" w:eastAsia="宋体" w:cs="宋体"/>
                <w:color w:val="auto"/>
                <w:spacing w:val="-6"/>
                <w:sz w:val="24"/>
                <w:szCs w:val="24"/>
                <w:highlight w:val="none"/>
              </w:rPr>
              <w:t>配合</w:t>
            </w:r>
            <w:r>
              <w:rPr>
                <w:rFonts w:hint="eastAsia" w:ascii="宋体" w:hAnsi="宋体" w:eastAsia="宋体" w:cs="宋体"/>
                <w:color w:val="auto"/>
                <w:spacing w:val="-6"/>
                <w:sz w:val="24"/>
                <w:szCs w:val="24"/>
                <w:highlight w:val="none"/>
                <w:lang w:eastAsia="zh-CN"/>
              </w:rPr>
              <w:t>服务</w:t>
            </w:r>
            <w:r>
              <w:rPr>
                <w:rFonts w:hint="eastAsia" w:ascii="宋体" w:hAnsi="宋体" w:eastAsia="宋体" w:cs="宋体"/>
                <w:color w:val="auto"/>
                <w:spacing w:val="-6"/>
                <w:sz w:val="24"/>
                <w:szCs w:val="24"/>
                <w:highlight w:val="none"/>
              </w:rPr>
              <w:t>费</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6"/>
                <w:sz w:val="24"/>
                <w:szCs w:val="24"/>
                <w:highlight w:val="none"/>
                <w:lang w:val="en-US" w:eastAsia="zh-CN"/>
              </w:rPr>
              <w:t>按</w:t>
            </w:r>
            <w:r>
              <w:rPr>
                <w:rFonts w:hint="eastAsia" w:ascii="宋体" w:hAnsi="宋体" w:eastAsia="宋体" w:cs="宋体"/>
                <w:b/>
                <w:bCs/>
                <w:color w:val="auto"/>
                <w:sz w:val="24"/>
                <w:szCs w:val="24"/>
                <w:highlight w:val="none"/>
              </w:rPr>
              <w:t>安装</w:t>
            </w:r>
            <w:r>
              <w:rPr>
                <w:rFonts w:hint="eastAsia" w:ascii="宋体" w:hAnsi="宋体" w:eastAsia="宋体" w:cs="宋体"/>
                <w:b/>
                <w:bCs/>
                <w:color w:val="auto"/>
                <w:sz w:val="24"/>
                <w:szCs w:val="24"/>
                <w:highlight w:val="none"/>
                <w:lang w:eastAsia="zh-CN"/>
              </w:rPr>
              <w:t>合同</w:t>
            </w:r>
            <w:r>
              <w:rPr>
                <w:rFonts w:hint="eastAsia" w:ascii="宋体" w:hAnsi="宋体" w:eastAsia="宋体" w:cs="宋体"/>
                <w:b/>
                <w:bCs/>
                <w:color w:val="auto"/>
                <w:sz w:val="24"/>
                <w:szCs w:val="24"/>
                <w:highlight w:val="none"/>
              </w:rPr>
              <w:t>价格（不含设备费）的3%</w:t>
            </w:r>
            <w:r>
              <w:rPr>
                <w:rFonts w:hint="eastAsia" w:ascii="宋体" w:hAnsi="宋体" w:eastAsia="宋体" w:cs="宋体"/>
                <w:b/>
                <w:bCs/>
                <w:color w:val="auto"/>
                <w:sz w:val="24"/>
                <w:szCs w:val="24"/>
                <w:highlight w:val="none"/>
                <w:lang w:eastAsia="zh-CN"/>
              </w:rPr>
              <w:t>计取）均</w:t>
            </w:r>
            <w:r>
              <w:rPr>
                <w:rFonts w:hint="eastAsia" w:ascii="宋体" w:hAnsi="宋体" w:eastAsia="宋体" w:cs="宋体"/>
                <w:b/>
                <w:bCs/>
                <w:color w:val="auto"/>
                <w:spacing w:val="-6"/>
                <w:sz w:val="24"/>
                <w:szCs w:val="24"/>
                <w:highlight w:val="none"/>
              </w:rPr>
              <w:t>包含在投标报价内，</w:t>
            </w:r>
            <w:r>
              <w:rPr>
                <w:rFonts w:hint="eastAsia" w:ascii="宋体" w:hAnsi="宋体" w:eastAsia="宋体" w:cs="宋体"/>
                <w:color w:val="auto"/>
                <w:spacing w:val="-6"/>
                <w:sz w:val="24"/>
                <w:szCs w:val="24"/>
                <w:highlight w:val="none"/>
              </w:rPr>
              <w:t>本项目为交钥匙工程报价。投标人的投标设备总价应含：成套的设备费、</w:t>
            </w:r>
            <w:r>
              <w:rPr>
                <w:rFonts w:hint="eastAsia" w:ascii="宋体" w:hAnsi="宋体" w:eastAsia="宋体" w:cs="宋体"/>
                <w:color w:val="auto"/>
                <w:spacing w:val="-6"/>
                <w:sz w:val="24"/>
                <w:szCs w:val="24"/>
                <w:highlight w:val="none"/>
                <w:lang w:eastAsia="zh-CN"/>
              </w:rPr>
              <w:t>安装调试费、</w:t>
            </w:r>
            <w:r>
              <w:rPr>
                <w:rFonts w:hint="eastAsia" w:ascii="宋体" w:hAnsi="宋体" w:eastAsia="宋体" w:cs="宋体"/>
                <w:color w:val="auto"/>
                <w:spacing w:val="-6"/>
                <w:sz w:val="24"/>
                <w:szCs w:val="24"/>
                <w:highlight w:val="none"/>
              </w:rPr>
              <w:t>备品备件费、各种税费、检测费、包装费、运杂费、装卸及保险费、培训费等产品</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eastAsia="zh-CN"/>
              </w:rPr>
              <w:t>安</w:t>
            </w:r>
            <w:r>
              <w:rPr>
                <w:rFonts w:hint="eastAsia" w:ascii="宋体" w:hAnsi="宋体" w:eastAsia="宋体" w:cs="宋体"/>
                <w:color w:val="auto"/>
                <w:sz w:val="24"/>
                <w:szCs w:val="24"/>
                <w:highlight w:val="none"/>
                <w:lang w:val="en-US" w:eastAsia="zh-CN"/>
              </w:rPr>
              <w:t>装</w:t>
            </w:r>
            <w:r>
              <w:rPr>
                <w:rFonts w:hint="eastAsia" w:ascii="宋体" w:hAnsi="宋体" w:eastAsia="宋体" w:cs="宋体"/>
                <w:color w:val="auto"/>
                <w:sz w:val="24"/>
                <w:szCs w:val="24"/>
                <w:highlight w:val="none"/>
                <w:lang w:eastAsia="zh-CN"/>
              </w:rPr>
              <w:t>验收合格交付招标人使用及完成售后服务</w:t>
            </w:r>
            <w:r>
              <w:rPr>
                <w:rFonts w:hint="eastAsia" w:ascii="宋体" w:hAnsi="宋体" w:eastAsia="宋体" w:cs="宋体"/>
                <w:color w:val="auto"/>
                <w:spacing w:val="-6"/>
                <w:sz w:val="24"/>
                <w:szCs w:val="24"/>
                <w:highlight w:val="none"/>
              </w:rPr>
              <w:t>的一切费用。在</w:t>
            </w:r>
            <w:r>
              <w:rPr>
                <w:rFonts w:hint="eastAsia" w:ascii="宋体" w:hAnsi="宋体" w:eastAsia="宋体" w:cs="宋体"/>
                <w:color w:val="auto"/>
                <w:spacing w:val="-6"/>
                <w:sz w:val="24"/>
                <w:szCs w:val="24"/>
                <w:highlight w:val="none"/>
                <w:lang w:eastAsia="zh-CN"/>
              </w:rPr>
              <w:t>报</w:t>
            </w:r>
            <w:r>
              <w:rPr>
                <w:rFonts w:hint="eastAsia" w:ascii="宋体" w:hAnsi="宋体" w:eastAsia="宋体" w:cs="宋体"/>
                <w:color w:val="auto"/>
                <w:spacing w:val="-6"/>
                <w:sz w:val="24"/>
                <w:szCs w:val="24"/>
                <w:highlight w:val="none"/>
              </w:rPr>
              <w:t>价内所能提供的的备品备件列表注明。投标设备涉及的专利费用，招标人均已认为包含在投标报价中。投标设备涉及到的专利问题，招标人均不对此承担任何责任。</w:t>
            </w:r>
          </w:p>
        </w:tc>
      </w:tr>
    </w:tbl>
    <w:p>
      <w:pPr>
        <w:rPr>
          <w:rFonts w:hint="eastAsia" w:ascii="宋体" w:hAnsi="宋体" w:eastAsia="宋体" w:cs="宋体"/>
          <w:color w:val="auto"/>
          <w:sz w:val="24"/>
          <w:szCs w:val="24"/>
          <w:highlight w:val="none"/>
        </w:rPr>
      </w:pPr>
    </w:p>
    <w:p>
      <w:pPr>
        <w:spacing w:line="242" w:lineRule="auto"/>
        <w:rPr>
          <w:rFonts w:hint="eastAsia" w:ascii="宋体" w:hAnsi="宋体" w:eastAsia="宋体" w:cs="宋体"/>
          <w:color w:val="auto"/>
          <w:sz w:val="21"/>
          <w:highlight w:val="none"/>
        </w:rPr>
        <w:sectPr>
          <w:pgSz w:w="11911" w:h="16838"/>
          <w:pgMar w:top="1355" w:right="1134" w:bottom="1134" w:left="1134" w:header="850" w:footer="992" w:gutter="0"/>
          <w:cols w:space="0" w:num="1"/>
          <w:docGrid w:type="linesAndChars" w:linePitch="326" w:charSpace="-1228"/>
        </w:sectPr>
      </w:pPr>
    </w:p>
    <w:p>
      <w:pPr>
        <w:pStyle w:val="4"/>
        <w:rPr>
          <w:rFonts w:hint="eastAsia" w:ascii="宋体" w:hAnsi="宋体" w:eastAsia="宋体" w:cs="宋体"/>
          <w:b/>
          <w:color w:val="auto"/>
          <w:sz w:val="20"/>
          <w:highlight w:val="none"/>
        </w:rPr>
      </w:pPr>
      <w:bookmarkStart w:id="14" w:name="第四章___图纸、技术标准和要求（另附）"/>
      <w:bookmarkEnd w:id="14"/>
      <w:bookmarkStart w:id="15" w:name="_Toc6902"/>
      <w:bookmarkStart w:id="16" w:name="_Toc8571"/>
      <w:bookmarkStart w:id="17" w:name="_Toc18915"/>
      <w:r>
        <w:rPr>
          <w:rFonts w:hint="eastAsia" w:ascii="宋体" w:hAnsi="宋体" w:eastAsia="宋体" w:cs="宋体"/>
          <w:color w:val="auto"/>
          <w:sz w:val="30"/>
          <w:highlight w:val="none"/>
        </w:rPr>
        <w:t>第四章</w:t>
      </w:r>
      <w:r>
        <w:rPr>
          <w:rFonts w:hint="eastAsia" w:ascii="宋体" w:hAnsi="宋体" w:eastAsia="宋体" w:cs="宋体"/>
          <w:color w:val="auto"/>
          <w:sz w:val="30"/>
          <w:highlight w:val="none"/>
          <w:lang w:val="en-US"/>
        </w:rPr>
        <w:t xml:space="preserve">  </w:t>
      </w:r>
      <w:r>
        <w:rPr>
          <w:rFonts w:hint="eastAsia" w:ascii="宋体" w:hAnsi="宋体" w:eastAsia="宋体" w:cs="宋体"/>
          <w:color w:val="auto"/>
          <w:sz w:val="30"/>
          <w:highlight w:val="none"/>
        </w:rPr>
        <w:t>图纸、技术标准和要求（附件）</w:t>
      </w:r>
      <w:bookmarkEnd w:id="15"/>
      <w:bookmarkEnd w:id="16"/>
      <w:bookmarkEnd w:id="17"/>
    </w:p>
    <w:p>
      <w:pPr>
        <w:pStyle w:val="6"/>
        <w:keepNext w:val="0"/>
        <w:keepLines w:val="0"/>
        <w:pageBreakBefore w:val="0"/>
        <w:widowControl w:val="0"/>
        <w:kinsoku/>
        <w:wordWrap/>
        <w:overflowPunct/>
        <w:topLinePunct w:val="0"/>
        <w:autoSpaceDE/>
        <w:autoSpaceDN/>
        <w:bidi w:val="0"/>
        <w:adjustRightInd/>
        <w:snapToGrid/>
        <w:spacing w:before="1" w:line="360" w:lineRule="auto"/>
        <w:ind w:left="0" w:leftChars="0" w:firstLine="0" w:firstLineChars="0"/>
        <w:textAlignment w:val="auto"/>
        <w:rPr>
          <w:rFonts w:hint="eastAsia" w:ascii="宋体" w:hAnsi="宋体" w:eastAsia="宋体" w:cs="宋体"/>
          <w:b/>
          <w:bCs w:val="0"/>
          <w:strike/>
          <w:dstrike w:val="0"/>
          <w:color w:val="auto"/>
          <w:sz w:val="27"/>
          <w:highlight w:val="none"/>
        </w:rPr>
      </w:pPr>
      <w:r>
        <w:rPr>
          <w:rFonts w:hint="eastAsia" w:ascii="宋体" w:hAnsi="宋体" w:eastAsia="宋体" w:cs="宋体"/>
          <w:b/>
          <w:bCs w:val="0"/>
          <w:color w:val="auto"/>
          <w:highlight w:val="none"/>
        </w:rPr>
        <w:t>一、项目概况</w:t>
      </w:r>
    </w:p>
    <w:p>
      <w:pPr>
        <w:keepNext w:val="0"/>
        <w:keepLines w:val="0"/>
        <w:pageBreakBefore w:val="0"/>
        <w:widowControl w:val="0"/>
        <w:kinsoku/>
        <w:wordWrap/>
        <w:overflowPunct/>
        <w:topLinePunct w:val="0"/>
        <w:autoSpaceDE/>
        <w:autoSpaceDN/>
        <w:bidi w:val="0"/>
        <w:adjustRightInd/>
        <w:snapToGrid/>
        <w:spacing w:line="360" w:lineRule="auto"/>
        <w:ind w:firstLine="47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项目概况：</w:t>
      </w:r>
      <w:r>
        <w:rPr>
          <w:rFonts w:hint="eastAsia" w:ascii="宋体" w:hAnsi="宋体" w:eastAsia="宋体" w:cs="宋体"/>
          <w:color w:val="auto"/>
          <w:sz w:val="24"/>
          <w:szCs w:val="24"/>
          <w:highlight w:val="none"/>
        </w:rPr>
        <w:t>本项目共 13 部</w:t>
      </w:r>
      <w:r>
        <w:rPr>
          <w:rFonts w:hint="eastAsia" w:ascii="宋体" w:hAnsi="宋体" w:eastAsia="宋体" w:cs="宋体"/>
          <w:color w:val="auto"/>
          <w:sz w:val="24"/>
          <w:szCs w:val="24"/>
          <w:highlight w:val="none"/>
          <w:lang w:eastAsia="zh-CN"/>
        </w:rPr>
        <w:t>电</w:t>
      </w:r>
      <w:r>
        <w:rPr>
          <w:rFonts w:hint="eastAsia" w:ascii="宋体" w:hAnsi="宋体" w:eastAsia="宋体" w:cs="宋体"/>
          <w:color w:val="auto"/>
          <w:sz w:val="24"/>
          <w:szCs w:val="24"/>
          <w:highlight w:val="none"/>
        </w:rPr>
        <w:t>梯</w:t>
      </w:r>
      <w:r>
        <w:rPr>
          <w:rFonts w:hint="eastAsia" w:ascii="宋体" w:hAnsi="宋体" w:eastAsia="宋体" w:cs="宋体"/>
          <w:color w:val="auto"/>
          <w:sz w:val="24"/>
          <w:szCs w:val="24"/>
          <w:highlight w:val="none"/>
          <w:lang w:val="en-US" w:eastAsia="zh-CN"/>
        </w:rPr>
        <w:t>，其他详见图纸及参数表</w:t>
      </w:r>
      <w:r>
        <w:rPr>
          <w:rFonts w:hint="eastAsia" w:ascii="宋体" w:hAnsi="宋体" w:eastAsia="宋体" w:cs="宋体"/>
          <w:color w:val="auto"/>
          <w:sz w:val="24"/>
          <w:szCs w:val="24"/>
          <w:highlight w:val="none"/>
        </w:rPr>
        <w:t>。</w:t>
      </w:r>
    </w:p>
    <w:p>
      <w:pPr>
        <w:pStyle w:val="6"/>
        <w:keepNext w:val="0"/>
        <w:keepLines w:val="0"/>
        <w:pageBreakBefore w:val="0"/>
        <w:widowControl w:val="0"/>
        <w:kinsoku/>
        <w:wordWrap/>
        <w:overflowPunct/>
        <w:topLinePunct w:val="0"/>
        <w:autoSpaceDE/>
        <w:autoSpaceDN/>
        <w:bidi w:val="0"/>
        <w:adjustRightInd/>
        <w:snapToGrid/>
        <w:spacing w:before="1" w:line="360" w:lineRule="auto"/>
        <w:ind w:left="0" w:leftChars="0" w:firstLine="0" w:firstLineChars="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二、</w:t>
      </w:r>
      <w:r>
        <w:rPr>
          <w:rFonts w:hint="eastAsia" w:ascii="宋体" w:hAnsi="宋体" w:eastAsia="宋体" w:cs="宋体"/>
          <w:b/>
          <w:bCs/>
          <w:color w:val="auto"/>
          <w:highlight w:val="none"/>
        </w:rPr>
        <w:t>技术标准和要求</w:t>
      </w:r>
    </w:p>
    <w:p>
      <w:pPr>
        <w:keepNext w:val="0"/>
        <w:keepLines w:val="0"/>
        <w:pageBreakBefore w:val="0"/>
        <w:widowControl w:val="0"/>
        <w:kinsoku/>
        <w:wordWrap/>
        <w:overflowPunct/>
        <w:topLinePunct w:val="0"/>
        <w:autoSpaceDE/>
        <w:autoSpaceDN/>
        <w:bidi w:val="0"/>
        <w:adjustRightInd/>
        <w:snapToGrid/>
        <w:spacing w:line="360" w:lineRule="auto"/>
        <w:ind w:firstLine="470"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为鼓励不同品牌的充分竞争，如某设备的某技术参数或要求属于个别品牌专有，则该技术参数及要求不具有限制性，投标人可对该参数或要求进行适当调整，但这种调整整体上要优于或相当于该技术参数的相关要求，并说明调整理由，且该调整须经评委会审核认可</w:t>
      </w:r>
      <w:r>
        <w:rPr>
          <w:rFonts w:hint="eastAsia" w:ascii="宋体" w:hAnsi="宋体" w:eastAsia="宋体" w:cs="宋体"/>
          <w:b/>
          <w:bCs/>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7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 xml:space="preserve"> 2</w:t>
      </w:r>
      <w:r>
        <w:rPr>
          <w:rFonts w:hint="eastAsia" w:ascii="宋体" w:hAnsi="宋体" w:eastAsia="宋体" w:cs="宋体"/>
          <w:color w:val="auto"/>
          <w:sz w:val="24"/>
          <w:szCs w:val="24"/>
          <w:highlight w:val="none"/>
        </w:rPr>
        <w:t>.本项目为交钥匙工程,投标人的报价应是</w:t>
      </w:r>
      <w:r>
        <w:rPr>
          <w:rFonts w:hint="eastAsia" w:ascii="宋体" w:hAnsi="宋体" w:eastAsia="宋体" w:cs="宋体"/>
          <w:color w:val="auto"/>
          <w:sz w:val="24"/>
          <w:szCs w:val="24"/>
          <w:highlight w:val="none"/>
          <w:lang w:val="en-US" w:eastAsia="zh-CN"/>
        </w:rPr>
        <w:t>电梯采购安装</w:t>
      </w:r>
      <w:r>
        <w:rPr>
          <w:rFonts w:hint="eastAsia" w:ascii="宋体" w:hAnsi="宋体" w:eastAsia="宋体" w:cs="宋体"/>
          <w:color w:val="auto"/>
          <w:sz w:val="24"/>
          <w:szCs w:val="24"/>
          <w:highlight w:val="none"/>
        </w:rPr>
        <w:t>全部工程和设备内容的价格体现。包括供货阶段费用(设备购置、运输、装卸、保险、专利、检测、试装、存放场地、</w:t>
      </w:r>
      <w:r>
        <w:rPr>
          <w:rFonts w:hint="eastAsia" w:ascii="宋体" w:hAnsi="宋体" w:eastAsia="宋体" w:cs="宋体"/>
          <w:color w:val="auto"/>
          <w:sz w:val="24"/>
          <w:szCs w:val="24"/>
          <w:highlight w:val="none"/>
          <w:lang w:val="en-US" w:eastAsia="zh-CN"/>
        </w:rPr>
        <w:t>保管、</w:t>
      </w:r>
      <w:r>
        <w:rPr>
          <w:rFonts w:hint="eastAsia" w:ascii="宋体" w:hAnsi="宋体" w:eastAsia="宋体" w:cs="宋体"/>
          <w:color w:val="auto"/>
          <w:sz w:val="24"/>
          <w:szCs w:val="24"/>
          <w:highlight w:val="none"/>
        </w:rPr>
        <w:t>备品备件费及与供货相关一切费用)、安装阶段费用(设备</w:t>
      </w:r>
      <w:r>
        <w:rPr>
          <w:rFonts w:hint="eastAsia" w:ascii="宋体" w:hAnsi="宋体" w:eastAsia="宋体" w:cs="宋体"/>
          <w:color w:val="auto"/>
          <w:sz w:val="24"/>
          <w:szCs w:val="24"/>
          <w:highlight w:val="none"/>
          <w:lang w:eastAsia="zh-CN"/>
        </w:rPr>
        <w:t>吊运</w:t>
      </w:r>
      <w:r>
        <w:rPr>
          <w:rFonts w:hint="eastAsia" w:ascii="宋体" w:hAnsi="宋体" w:eastAsia="宋体" w:cs="宋体"/>
          <w:color w:val="auto"/>
          <w:sz w:val="24"/>
          <w:szCs w:val="24"/>
          <w:highlight w:val="none"/>
        </w:rPr>
        <w:t>安装、相关附件安装、各项措施费、附属工程费、临时工程费、电梯内装饰</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电梯口装饰费、其他安装费、施工用电、用水费、检测</w:t>
      </w:r>
      <w:r>
        <w:rPr>
          <w:rFonts w:hint="eastAsia" w:ascii="宋体" w:hAnsi="宋体" w:eastAsia="宋体" w:cs="宋体"/>
          <w:color w:val="auto"/>
          <w:sz w:val="24"/>
          <w:szCs w:val="24"/>
          <w:highlight w:val="none"/>
          <w:lang w:eastAsia="zh-CN"/>
        </w:rPr>
        <w:t>费</w:t>
      </w:r>
      <w:r>
        <w:rPr>
          <w:rFonts w:hint="eastAsia" w:ascii="宋体" w:hAnsi="宋体" w:eastAsia="宋体" w:cs="宋体"/>
          <w:color w:val="auto"/>
          <w:sz w:val="24"/>
          <w:szCs w:val="24"/>
          <w:highlight w:val="none"/>
        </w:rPr>
        <w:t>、安全文明施工费、文明创建费、人员办公住宿、机械用具使用费等与安装有关的一切费用)、移交阶段</w:t>
      </w:r>
      <w:r>
        <w:rPr>
          <w:rFonts w:hint="eastAsia" w:ascii="宋体" w:hAnsi="宋体" w:eastAsia="宋体" w:cs="宋体"/>
          <w:color w:val="auto"/>
          <w:sz w:val="24"/>
          <w:szCs w:val="24"/>
          <w:highlight w:val="none"/>
          <w:lang w:val="en-US" w:eastAsia="zh-CN"/>
        </w:rPr>
        <w:t>及售后质保阶段</w:t>
      </w:r>
      <w:r>
        <w:rPr>
          <w:rFonts w:hint="eastAsia" w:ascii="宋体" w:hAnsi="宋体" w:eastAsia="宋体" w:cs="宋体"/>
          <w:color w:val="auto"/>
          <w:sz w:val="24"/>
          <w:szCs w:val="24"/>
          <w:highlight w:val="none"/>
        </w:rPr>
        <w:t>费用(成品保护、调试、培训、相关部门检测、相关部门验收及整改、</w:t>
      </w:r>
      <w:r>
        <w:rPr>
          <w:rFonts w:hint="eastAsia" w:ascii="宋体" w:hAnsi="宋体" w:eastAsia="宋体" w:cs="宋体"/>
          <w:color w:val="auto"/>
          <w:sz w:val="24"/>
          <w:szCs w:val="24"/>
          <w:highlight w:val="none"/>
          <w:lang w:eastAsia="zh-CN"/>
        </w:rPr>
        <w:t>质保期</w:t>
      </w:r>
      <w:r>
        <w:rPr>
          <w:rFonts w:hint="eastAsia" w:ascii="宋体" w:hAnsi="宋体" w:eastAsia="宋体" w:cs="宋体"/>
          <w:color w:val="auto"/>
          <w:sz w:val="24"/>
          <w:szCs w:val="24"/>
          <w:highlight w:val="none"/>
        </w:rPr>
        <w:t>维保</w:t>
      </w:r>
      <w:r>
        <w:rPr>
          <w:rFonts w:hint="eastAsia" w:ascii="宋体" w:hAnsi="宋体" w:eastAsia="宋体" w:cs="宋体"/>
          <w:color w:val="auto"/>
          <w:sz w:val="24"/>
          <w:szCs w:val="24"/>
          <w:highlight w:val="none"/>
          <w:lang w:eastAsia="zh-CN"/>
        </w:rPr>
        <w:t>及检测验收</w:t>
      </w:r>
      <w:r>
        <w:rPr>
          <w:rFonts w:hint="eastAsia" w:ascii="宋体" w:hAnsi="宋体" w:eastAsia="宋体" w:cs="宋体"/>
          <w:color w:val="auto"/>
          <w:sz w:val="24"/>
          <w:szCs w:val="24"/>
          <w:highlight w:val="none"/>
        </w:rPr>
        <w:t>、售后服务</w:t>
      </w:r>
      <w:r>
        <w:rPr>
          <w:rFonts w:hint="eastAsia" w:ascii="宋体" w:hAnsi="宋体" w:eastAsia="宋体" w:cs="宋体"/>
          <w:color w:val="auto"/>
          <w:sz w:val="24"/>
          <w:szCs w:val="24"/>
          <w:highlight w:val="none"/>
          <w:lang w:eastAsia="zh-CN"/>
        </w:rPr>
        <w:t>费用、</w:t>
      </w:r>
      <w:r>
        <w:rPr>
          <w:rFonts w:hint="eastAsia" w:ascii="宋体" w:hAnsi="宋体" w:eastAsia="宋体" w:cs="宋体"/>
          <w:color w:val="auto"/>
          <w:sz w:val="24"/>
          <w:szCs w:val="24"/>
          <w:highlight w:val="none"/>
        </w:rPr>
        <w:t>为满足电梯验收</w:t>
      </w:r>
      <w:r>
        <w:rPr>
          <w:rFonts w:hint="eastAsia" w:cs="宋体"/>
          <w:color w:val="auto"/>
          <w:sz w:val="24"/>
          <w:szCs w:val="24"/>
          <w:highlight w:val="none"/>
          <w:lang w:eastAsia="zh-CN"/>
        </w:rPr>
        <w:t>或业主</w:t>
      </w:r>
      <w:r>
        <w:rPr>
          <w:rFonts w:hint="eastAsia" w:ascii="宋体" w:hAnsi="宋体" w:eastAsia="宋体" w:cs="宋体"/>
          <w:color w:val="auto"/>
          <w:sz w:val="24"/>
          <w:szCs w:val="24"/>
          <w:highlight w:val="none"/>
          <w:lang w:eastAsia="zh-CN"/>
        </w:rPr>
        <w:t>使用需求</w:t>
      </w:r>
      <w:r>
        <w:rPr>
          <w:rFonts w:hint="eastAsia" w:ascii="宋体" w:hAnsi="宋体" w:eastAsia="宋体" w:cs="宋体"/>
          <w:color w:val="auto"/>
          <w:sz w:val="24"/>
          <w:szCs w:val="24"/>
          <w:highlight w:val="none"/>
        </w:rPr>
        <w:t>电梯内</w:t>
      </w:r>
      <w:r>
        <w:rPr>
          <w:rFonts w:hint="eastAsia" w:ascii="宋体" w:hAnsi="宋体" w:eastAsia="宋体" w:cs="宋体"/>
          <w:color w:val="auto"/>
          <w:sz w:val="24"/>
          <w:szCs w:val="24"/>
          <w:highlight w:val="none"/>
          <w:lang w:eastAsia="zh-CN"/>
        </w:rPr>
        <w:t>实现监控信号和无线</w:t>
      </w:r>
      <w:r>
        <w:rPr>
          <w:rFonts w:hint="eastAsia" w:ascii="宋体" w:hAnsi="宋体" w:eastAsia="宋体" w:cs="宋体"/>
          <w:color w:val="auto"/>
          <w:sz w:val="24"/>
          <w:szCs w:val="24"/>
          <w:highlight w:val="none"/>
        </w:rPr>
        <w:t>信号覆盖</w:t>
      </w:r>
      <w:r>
        <w:rPr>
          <w:rFonts w:hint="eastAsia" w:ascii="宋体" w:hAnsi="宋体" w:eastAsia="宋体" w:cs="宋体"/>
          <w:color w:val="auto"/>
          <w:sz w:val="24"/>
          <w:szCs w:val="24"/>
          <w:highlight w:val="none"/>
          <w:lang w:eastAsia="zh-CN"/>
        </w:rPr>
        <w:t>费用</w:t>
      </w:r>
      <w:r>
        <w:rPr>
          <w:rFonts w:hint="eastAsia" w:ascii="宋体" w:hAnsi="宋体" w:eastAsia="宋体" w:cs="宋体"/>
          <w:color w:val="auto"/>
          <w:sz w:val="24"/>
          <w:szCs w:val="24"/>
          <w:highlight w:val="none"/>
        </w:rPr>
        <w:t>等与本阶段有关的一切费用)以及风险费用、管理费、利润、税费及招标文件约定需完成的内容包含的</w:t>
      </w:r>
      <w:r>
        <w:rPr>
          <w:rFonts w:hint="eastAsia" w:ascii="宋体" w:hAnsi="宋体" w:eastAsia="宋体" w:cs="宋体"/>
          <w:color w:val="auto"/>
          <w:sz w:val="24"/>
          <w:szCs w:val="24"/>
          <w:highlight w:val="none"/>
          <w:lang w:val="en-US" w:eastAsia="zh-CN"/>
        </w:rPr>
        <w:t>全部</w:t>
      </w:r>
      <w:r>
        <w:rPr>
          <w:rFonts w:hint="eastAsia" w:ascii="宋体" w:hAnsi="宋体" w:eastAsia="宋体" w:cs="宋体"/>
          <w:color w:val="auto"/>
          <w:sz w:val="24"/>
          <w:szCs w:val="24"/>
          <w:highlight w:val="none"/>
        </w:rPr>
        <w:t>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val="en-US" w:eastAsia="zh-CN"/>
        </w:rPr>
      </w:pPr>
    </w:p>
    <w:p>
      <w:pPr>
        <w:keepNext w:val="0"/>
        <w:keepLines w:val="0"/>
        <w:pageBreakBefore w:val="0"/>
        <w:widowControl w:val="0"/>
        <w:tabs>
          <w:tab w:val="left" w:pos="2040"/>
        </w:tabs>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（一）、环境和工作条件</w:t>
      </w:r>
    </w:p>
    <w:p>
      <w:pPr>
        <w:keepNext w:val="0"/>
        <w:keepLines w:val="0"/>
        <w:pageBreakBefore w:val="0"/>
        <w:widowControl w:val="0"/>
        <w:kinsoku/>
        <w:wordWrap/>
        <w:overflowPunct/>
        <w:topLinePunct w:val="0"/>
        <w:autoSpaceDE/>
        <w:autoSpaceDN/>
        <w:bidi w:val="0"/>
        <w:adjustRightInd/>
        <w:snapToGrid/>
        <w:spacing w:line="360" w:lineRule="auto"/>
        <w:ind w:firstLine="47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除技术规格中另有规定外，供应商提供的一切货物应能按下列条件运行：</w:t>
      </w:r>
    </w:p>
    <w:p>
      <w:pPr>
        <w:keepNext w:val="0"/>
        <w:keepLines w:val="0"/>
        <w:pageBreakBefore w:val="0"/>
        <w:widowControl w:val="0"/>
        <w:kinsoku/>
        <w:wordWrap/>
        <w:overflowPunct/>
        <w:topLinePunct w:val="0"/>
        <w:autoSpaceDE/>
        <w:autoSpaceDN/>
        <w:bidi w:val="0"/>
        <w:adjustRightInd/>
        <w:snapToGrid/>
        <w:spacing w:line="360" w:lineRule="auto"/>
        <w:ind w:firstLine="47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电源：动力380V(±</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％)、照明220V(±</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％)，50Hz。（三相五线制）</w:t>
      </w:r>
    </w:p>
    <w:p>
      <w:pPr>
        <w:keepNext w:val="0"/>
        <w:keepLines w:val="0"/>
        <w:pageBreakBefore w:val="0"/>
        <w:widowControl w:val="0"/>
        <w:kinsoku/>
        <w:wordWrap/>
        <w:overflowPunct/>
        <w:topLinePunct w:val="0"/>
        <w:autoSpaceDE/>
        <w:autoSpaceDN/>
        <w:bidi w:val="0"/>
        <w:adjustRightInd/>
        <w:snapToGrid/>
        <w:spacing w:line="360" w:lineRule="auto"/>
        <w:ind w:firstLine="47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环境温度：-5℃～+40℃。</w:t>
      </w:r>
    </w:p>
    <w:p>
      <w:pPr>
        <w:keepNext w:val="0"/>
        <w:keepLines w:val="0"/>
        <w:pageBreakBefore w:val="0"/>
        <w:widowControl w:val="0"/>
        <w:kinsoku/>
        <w:wordWrap/>
        <w:overflowPunct/>
        <w:topLinePunct w:val="0"/>
        <w:autoSpaceDE/>
        <w:autoSpaceDN/>
        <w:bidi w:val="0"/>
        <w:adjustRightInd/>
        <w:snapToGrid/>
        <w:spacing w:line="360" w:lineRule="auto"/>
        <w:ind w:firstLine="47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3.工作环境湿度：0～85%RH。</w:t>
      </w:r>
    </w:p>
    <w:p>
      <w:pPr>
        <w:keepNext w:val="0"/>
        <w:keepLines w:val="0"/>
        <w:pageBreakBefore w:val="0"/>
        <w:widowControl w:val="0"/>
        <w:kinsoku/>
        <w:wordWrap/>
        <w:overflowPunct/>
        <w:topLinePunct w:val="0"/>
        <w:autoSpaceDE/>
        <w:autoSpaceDN/>
        <w:bidi w:val="0"/>
        <w:adjustRightInd/>
        <w:snapToGrid/>
        <w:spacing w:line="360" w:lineRule="auto"/>
        <w:ind w:firstLine="47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4.机房位置：见</w:t>
      </w:r>
      <w:r>
        <w:rPr>
          <w:rFonts w:hint="eastAsia" w:ascii="宋体" w:hAnsi="宋体" w:eastAsia="宋体" w:cs="宋体"/>
          <w:color w:val="auto"/>
          <w:sz w:val="24"/>
          <w:szCs w:val="24"/>
          <w:highlight w:val="none"/>
          <w:lang w:eastAsia="zh-CN"/>
        </w:rPr>
        <w:t>建筑</w:t>
      </w:r>
      <w:r>
        <w:rPr>
          <w:rFonts w:hint="eastAsia" w:ascii="宋体" w:hAnsi="宋体" w:eastAsia="宋体" w:cs="宋体"/>
          <w:color w:val="auto"/>
          <w:sz w:val="24"/>
          <w:szCs w:val="24"/>
          <w:highlight w:val="none"/>
        </w:rPr>
        <w:t>施工图设计文件。</w:t>
      </w:r>
    </w:p>
    <w:p>
      <w:pPr>
        <w:keepNext w:val="0"/>
        <w:keepLines w:val="0"/>
        <w:pageBreakBefore w:val="0"/>
        <w:widowControl w:val="0"/>
        <w:kinsoku/>
        <w:wordWrap/>
        <w:overflowPunct/>
        <w:topLinePunct w:val="0"/>
        <w:autoSpaceDE/>
        <w:autoSpaceDN/>
        <w:bidi w:val="0"/>
        <w:adjustRightInd/>
        <w:snapToGrid/>
        <w:spacing w:line="360" w:lineRule="auto"/>
        <w:ind w:firstLine="47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层高：见</w:t>
      </w:r>
      <w:r>
        <w:rPr>
          <w:rFonts w:hint="eastAsia" w:ascii="宋体" w:hAnsi="宋体" w:eastAsia="宋体" w:cs="宋体"/>
          <w:color w:val="auto"/>
          <w:sz w:val="24"/>
          <w:szCs w:val="24"/>
          <w:highlight w:val="none"/>
          <w:lang w:eastAsia="zh-CN"/>
        </w:rPr>
        <w:t>建筑</w:t>
      </w:r>
      <w:r>
        <w:rPr>
          <w:rFonts w:hint="eastAsia" w:ascii="宋体" w:hAnsi="宋体" w:eastAsia="宋体" w:cs="宋体"/>
          <w:color w:val="auto"/>
          <w:sz w:val="24"/>
          <w:szCs w:val="24"/>
          <w:highlight w:val="none"/>
        </w:rPr>
        <w:t>施工图设计文件</w:t>
      </w:r>
      <w:r>
        <w:rPr>
          <w:rFonts w:hint="eastAsia" w:ascii="宋体" w:hAnsi="宋体" w:eastAsia="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7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井道尺寸：见</w:t>
      </w:r>
      <w:r>
        <w:rPr>
          <w:rFonts w:hint="eastAsia" w:ascii="宋体" w:hAnsi="宋体" w:eastAsia="宋体" w:cs="宋体"/>
          <w:color w:val="auto"/>
          <w:sz w:val="24"/>
          <w:szCs w:val="24"/>
          <w:highlight w:val="none"/>
          <w:lang w:eastAsia="zh-CN"/>
        </w:rPr>
        <w:t>建筑</w:t>
      </w:r>
      <w:r>
        <w:rPr>
          <w:rFonts w:hint="eastAsia" w:ascii="宋体" w:hAnsi="宋体" w:eastAsia="宋体" w:cs="宋体"/>
          <w:color w:val="auto"/>
          <w:sz w:val="24"/>
          <w:szCs w:val="24"/>
          <w:highlight w:val="none"/>
        </w:rPr>
        <w:t>施工图设计文件</w:t>
      </w:r>
      <w:r>
        <w:rPr>
          <w:rFonts w:hint="eastAsia" w:ascii="宋体" w:hAnsi="宋体" w:eastAsia="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7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 w:val="24"/>
          <w:szCs w:val="24"/>
          <w:highlight w:val="none"/>
        </w:rPr>
        <w:t>7.工作情况：要求连续工作每天24小时，全年 365天，正常使用寿命期要求</w:t>
      </w:r>
      <w:r>
        <w:rPr>
          <w:rFonts w:hint="eastAsia" w:ascii="宋体" w:hAnsi="宋体" w:eastAsia="宋体" w:cs="宋体"/>
          <w:color w:val="auto"/>
          <w:sz w:val="24"/>
          <w:szCs w:val="24"/>
          <w:highlight w:val="none"/>
          <w:lang w:val="en-US" w:eastAsia="zh-CN"/>
        </w:rPr>
        <w:t>15年及</w:t>
      </w:r>
      <w:r>
        <w:rPr>
          <w:rFonts w:hint="eastAsia" w:ascii="宋体" w:hAnsi="宋体" w:eastAsia="宋体" w:cs="宋体"/>
          <w:color w:val="auto"/>
          <w:sz w:val="24"/>
          <w:szCs w:val="24"/>
          <w:highlight w:val="none"/>
        </w:rPr>
        <w:t>以上。在确定认可的材质、工艺要求前提下，其外观质量和舒适感应有可比性的优越。</w:t>
      </w:r>
    </w:p>
    <w:p>
      <w:pPr>
        <w:numPr>
          <w:ilvl w:val="0"/>
          <w:numId w:val="0"/>
        </w:numPr>
        <w:spacing w:line="360" w:lineRule="auto"/>
        <w:rPr>
          <w:rFonts w:hint="eastAsia" w:ascii="宋体" w:hAnsi="宋体" w:eastAsia="宋体" w:cs="宋体"/>
          <w:color w:val="auto"/>
          <w:highlight w:val="none"/>
        </w:rPr>
      </w:pP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lang w:val="en-US" w:eastAsia="zh-CN"/>
        </w:rPr>
        <w:t>二</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w:t>
      </w:r>
      <w:r>
        <w:rPr>
          <w:rFonts w:hint="eastAsia" w:ascii="宋体" w:hAnsi="宋体" w:eastAsia="宋体" w:cs="宋体"/>
          <w:b/>
          <w:bCs/>
          <w:color w:val="auto"/>
          <w:sz w:val="24"/>
          <w:highlight w:val="none"/>
        </w:rPr>
        <w:t>货物需求一览表</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详见工程量清单</w:t>
      </w:r>
      <w:r>
        <w:rPr>
          <w:rFonts w:hint="eastAsia" w:ascii="宋体" w:hAnsi="宋体" w:eastAsia="宋体" w:cs="宋体"/>
          <w:b/>
          <w:bCs/>
          <w:color w:val="auto"/>
          <w:sz w:val="24"/>
          <w:highlight w:val="none"/>
          <w:lang w:eastAsia="zh-CN"/>
        </w:rPr>
        <w:t>）</w:t>
      </w:r>
    </w:p>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三</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rPr>
        <w:t>货物技术要求</w:t>
      </w:r>
    </w:p>
    <w:p>
      <w:pPr>
        <w:spacing w:line="360" w:lineRule="auto"/>
        <w:ind w:firstLine="47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)总说明</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本技术规格及要求提供的是最低限度的技术要求,并未对一切技术细节做出规定,也未充分引述有关标准和规范的条文,投标人应保证提供符合本技术规格及要求和有关标准的优质产品,相关费用投标人投标时应包含在总价中。本技术规格中所引述的相关标准、规范等强制性规定,如有新版本发布,按新版本执行。</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招标人保留在签订合同之前对本技术规格及要求补充和修改的权利,投标人应承诺予以配合。</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投标人所提供的货物,如若发生侵犯知识产权的行为时,其侵权责任与招标人无关,应由投标人承担相应的责任,并不得损害招标人的利益。</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投标人必须按规定要求提供投标货物的详细技术资料,以方便招标人评标、定标。投标人所提供的产品样本(如有)必须同货物相一致,其中包括货物的主要性能、技术参数、结构特点、适用范围等,所提供的参考资料应尽可能全面详细。</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为使招标人作好准备工作,中标人应在合同生效后7天内,与招标人、设计单位、施工总承包单位联系沟通。中标人须派人进驻土建施工现场,负责进行各种预埋预留，并指导招标人组织井道、地坑、机房的土建施工。电梯交货时,卖方应按每台/套设备给买方提供一套完整的资料并随货物包装发运,其中包括设备安装前对安装环境的要求、操作手册、应用指南和服务、安装说明及示意图,产品合格证、使用说明书、装箱单、进口设备或者进口部件的原产地证明书、中外文翻译对照书等其他应该提供的各项资料。</w:t>
      </w:r>
    </w:p>
    <w:p>
      <w:pPr>
        <w:spacing w:line="360" w:lineRule="auto"/>
        <w:ind w:firstLine="47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投标人所提供的货物技术规格应符合</w:t>
      </w:r>
      <w:r>
        <w:rPr>
          <w:rFonts w:hint="eastAsia" w:cs="宋体"/>
          <w:color w:val="auto"/>
          <w:sz w:val="24"/>
          <w:szCs w:val="24"/>
          <w:highlight w:val="none"/>
          <w:lang w:val="en-US" w:eastAsia="zh-CN"/>
        </w:rPr>
        <w:t>招标文件中要求的</w:t>
      </w:r>
      <w:r>
        <w:rPr>
          <w:rFonts w:hint="eastAsia" w:ascii="宋体" w:hAnsi="宋体" w:eastAsia="宋体" w:cs="宋体"/>
          <w:color w:val="auto"/>
          <w:sz w:val="24"/>
          <w:szCs w:val="24"/>
          <w:highlight w:val="none"/>
          <w:lang w:val="en-US" w:eastAsia="zh-CN"/>
        </w:rPr>
        <w:t>技术规格及要求,如果投标人不能响应招标文件技术规格和要求的某项技术规格,投标人应在技术偏离表中说明偏离情况。</w:t>
      </w:r>
    </w:p>
    <w:p>
      <w:pPr>
        <w:pStyle w:val="65"/>
        <w:ind w:left="0" w:leftChars="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）货物配置基术要求</w:t>
      </w:r>
    </w:p>
    <w:p>
      <w:pPr>
        <w:spacing w:line="360" w:lineRule="auto"/>
        <w:ind w:firstLine="47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1.载重量、运行速度、数量、停靠层站、井道尺寸、提升高度等参数见“货物需求一览表”，其他详见施工图纸。</w:t>
      </w:r>
    </w:p>
    <w:p>
      <w:pPr>
        <w:spacing w:line="360" w:lineRule="auto"/>
        <w:ind w:firstLine="47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2.机房位置：详见</w:t>
      </w:r>
      <w:r>
        <w:rPr>
          <w:rFonts w:hint="eastAsia" w:ascii="宋体" w:hAnsi="宋体" w:eastAsia="宋体" w:cs="宋体"/>
          <w:color w:val="auto"/>
          <w:sz w:val="24"/>
          <w:szCs w:val="24"/>
          <w:highlight w:val="none"/>
          <w:lang w:val="en-US" w:eastAsia="zh-CN"/>
        </w:rPr>
        <w:t>建筑施工</w:t>
      </w:r>
      <w:r>
        <w:rPr>
          <w:rFonts w:hint="eastAsia" w:ascii="宋体" w:hAnsi="宋体" w:eastAsia="宋体" w:cs="宋体"/>
          <w:color w:val="auto"/>
          <w:sz w:val="24"/>
          <w:szCs w:val="24"/>
          <w:highlight w:val="none"/>
        </w:rPr>
        <w:t>图纸，投标人应踏勘现场了解。电梯机房均须安装制冷量与机房空间相匹配的空调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空调电源有招标人提供</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机房地面无尘处理（涂刷环氧树脂地坪漆等）</w:t>
      </w:r>
      <w:r>
        <w:rPr>
          <w:rFonts w:hint="eastAsia" w:ascii="宋体" w:hAnsi="宋体" w:eastAsia="宋体" w:cs="宋体"/>
          <w:color w:val="auto"/>
          <w:sz w:val="24"/>
          <w:szCs w:val="24"/>
          <w:highlight w:val="none"/>
        </w:rPr>
        <w:t>相关费用均包含在本次投标报价内。</w:t>
      </w:r>
    </w:p>
    <w:p>
      <w:pPr>
        <w:spacing w:line="360" w:lineRule="auto"/>
        <w:ind w:firstLine="47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3.电源要求：交流三相380±10%，50Hz：交流单相220±10%，50Hz。</w:t>
      </w:r>
    </w:p>
    <w:p>
      <w:pPr>
        <w:tabs>
          <w:tab w:val="left" w:pos="2040"/>
        </w:tabs>
        <w:spacing w:line="360" w:lineRule="auto"/>
        <w:ind w:firstLine="470"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4.拖动、控制系统：全电脑控制交流变频变压调速（VVVF）</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双</w:t>
      </w:r>
      <w:r>
        <w:rPr>
          <w:rFonts w:hint="eastAsia" w:ascii="宋体" w:hAnsi="宋体" w:eastAsia="宋体" w:cs="宋体"/>
          <w:b/>
          <w:bCs/>
          <w:color w:val="auto"/>
          <w:sz w:val="24"/>
          <w:szCs w:val="24"/>
          <w:highlight w:val="none"/>
        </w:rPr>
        <w:t>32位全电脑模块化控制，控制系统（</w:t>
      </w:r>
      <w:r>
        <w:rPr>
          <w:rFonts w:hint="eastAsia" w:ascii="宋体" w:hAnsi="宋体" w:eastAsia="宋体" w:cs="宋体"/>
          <w:b/>
          <w:bCs/>
          <w:color w:val="auto"/>
          <w:sz w:val="24"/>
          <w:szCs w:val="24"/>
          <w:highlight w:val="none"/>
          <w:lang w:val="en-US" w:eastAsia="zh-CN"/>
        </w:rPr>
        <w:t>即控制柜整柜</w:t>
      </w:r>
      <w:r>
        <w:rPr>
          <w:rFonts w:hint="eastAsia" w:ascii="宋体" w:hAnsi="宋体" w:eastAsia="宋体" w:cs="宋体"/>
          <w:b/>
          <w:bCs/>
          <w:color w:val="auto"/>
          <w:sz w:val="24"/>
          <w:szCs w:val="24"/>
          <w:highlight w:val="none"/>
        </w:rPr>
        <w:t>）必须为</w:t>
      </w:r>
      <w:r>
        <w:rPr>
          <w:rFonts w:hint="eastAsia" w:ascii="宋体" w:hAnsi="宋体" w:eastAsia="宋体" w:cs="宋体"/>
          <w:b/>
          <w:bCs/>
          <w:color w:val="auto"/>
          <w:sz w:val="24"/>
          <w:szCs w:val="24"/>
          <w:highlight w:val="none"/>
          <w:lang w:val="en-US" w:eastAsia="zh-CN"/>
        </w:rPr>
        <w:t>原厂、原品牌、原产地原装欧美日进口产品</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采用永磁同步无齿轮曳引机</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原厂、原品牌、原产地原装欧美日进口产品</w:t>
      </w:r>
      <w:r>
        <w:rPr>
          <w:rFonts w:hint="eastAsia"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其中HT-1货梯1</w:t>
      </w:r>
      <w:r>
        <w:rPr>
          <w:rFonts w:hint="eastAsia" w:cs="宋体"/>
          <w:b/>
          <w:bCs/>
          <w:color w:val="auto"/>
          <w:sz w:val="24"/>
          <w:szCs w:val="24"/>
          <w:highlight w:val="none"/>
          <w:lang w:val="en-US" w:eastAsia="zh-CN"/>
        </w:rPr>
        <w:t>拖动及</w:t>
      </w:r>
      <w:r>
        <w:rPr>
          <w:rFonts w:hint="eastAsia" w:ascii="宋体" w:hAnsi="宋体" w:eastAsia="宋体" w:cs="宋体"/>
          <w:b/>
          <w:bCs/>
          <w:color w:val="auto"/>
          <w:sz w:val="24"/>
          <w:szCs w:val="24"/>
          <w:highlight w:val="none"/>
        </w:rPr>
        <w:t>控制系统</w:t>
      </w:r>
      <w:r>
        <w:rPr>
          <w:rFonts w:hint="eastAsia" w:cs="宋体"/>
          <w:b/>
          <w:bCs/>
          <w:color w:val="auto"/>
          <w:sz w:val="24"/>
          <w:szCs w:val="24"/>
          <w:highlight w:val="none"/>
          <w:lang w:eastAsia="zh-CN"/>
        </w:rPr>
        <w:t>要求</w:t>
      </w:r>
      <w:r>
        <w:rPr>
          <w:rFonts w:hint="eastAsia" w:ascii="宋体" w:hAnsi="宋体" w:eastAsia="宋体" w:cs="宋体"/>
          <w:b/>
          <w:bCs/>
          <w:color w:val="auto"/>
          <w:sz w:val="24"/>
          <w:szCs w:val="24"/>
          <w:highlight w:val="none"/>
          <w:lang w:val="en-US" w:eastAsia="zh-CN"/>
        </w:rPr>
        <w:t>原厂、原品牌</w:t>
      </w:r>
      <w:r>
        <w:rPr>
          <w:rFonts w:hint="eastAsia"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w:t>
      </w:r>
    </w:p>
    <w:p>
      <w:pPr>
        <w:tabs>
          <w:tab w:val="left" w:pos="2040"/>
        </w:tabs>
        <w:spacing w:line="360" w:lineRule="auto"/>
        <w:ind w:firstLine="47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5.平层准确度和平层保持精度：±5mm。</w:t>
      </w:r>
    </w:p>
    <w:p>
      <w:pPr>
        <w:tabs>
          <w:tab w:val="left" w:pos="2040"/>
        </w:tabs>
        <w:spacing w:line="360" w:lineRule="auto"/>
        <w:ind w:firstLine="47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6.噪音指标：运行中轿厢噪音≤50dB,开关门噪音≤55dB，机房噪音≤75dB。</w:t>
      </w:r>
    </w:p>
    <w:p>
      <w:pPr>
        <w:tabs>
          <w:tab w:val="left" w:pos="2040"/>
        </w:tabs>
        <w:spacing w:line="360" w:lineRule="auto"/>
        <w:ind w:firstLine="47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7.垂直震动加速度≤15cnm/s2；水平震动加速度≤10cnm/s2。</w:t>
      </w:r>
    </w:p>
    <w:p>
      <w:pPr>
        <w:tabs>
          <w:tab w:val="left" w:pos="2040"/>
        </w:tabs>
        <w:spacing w:line="360" w:lineRule="auto"/>
        <w:ind w:firstLine="47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8.故障率（次）≤5/60000；电梯一般故障修复时间1小时，重大故障修复时间12小时；如故障次数及修复时间超过的补偿措施：超过一次，则延长一年质保。</w:t>
      </w:r>
      <w:r>
        <w:rPr>
          <w:rFonts w:hint="eastAsia" w:ascii="宋体" w:hAnsi="宋体" w:eastAsia="宋体" w:cs="宋体"/>
          <w:b w:val="0"/>
          <w:bCs/>
          <w:color w:val="auto"/>
          <w:sz w:val="24"/>
          <w:szCs w:val="24"/>
          <w:highlight w:val="none"/>
          <w:lang w:val="en-US" w:eastAsia="zh-CN"/>
        </w:rPr>
        <w:tab/>
      </w:r>
    </w:p>
    <w:p>
      <w:pPr>
        <w:tabs>
          <w:tab w:val="left" w:pos="2040"/>
        </w:tabs>
        <w:spacing w:line="360" w:lineRule="auto"/>
        <w:ind w:firstLine="47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9.厅门、门套</w:t>
      </w:r>
    </w:p>
    <w:p>
      <w:pPr>
        <w:tabs>
          <w:tab w:val="left" w:pos="2040"/>
        </w:tabs>
        <w:spacing w:line="360" w:lineRule="auto"/>
        <w:ind w:firstLine="940" w:firstLineChars="4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1）所有电梯各层厅门、门套均采用 304发纹不锈钢，门框</w:t>
      </w:r>
      <w:r>
        <w:rPr>
          <w:rFonts w:hint="eastAsia" w:ascii="宋体" w:hAnsi="宋体" w:eastAsia="宋体" w:cs="宋体"/>
          <w:color w:val="auto"/>
          <w:sz w:val="24"/>
          <w:szCs w:val="24"/>
          <w:highlight w:val="none"/>
        </w:rPr>
        <w:t>采用窄型发纹不锈钢</w:t>
      </w:r>
      <w:r>
        <w:rPr>
          <w:rFonts w:hint="eastAsia" w:ascii="宋体" w:hAnsi="宋体" w:eastAsia="宋体" w:cs="宋体"/>
          <w:b w:val="0"/>
          <w:bCs/>
          <w:color w:val="auto"/>
          <w:sz w:val="24"/>
          <w:szCs w:val="24"/>
          <w:highlight w:val="none"/>
          <w:lang w:val="en-US" w:eastAsia="zh-CN"/>
        </w:rPr>
        <w:t>小门套，不锈钢厚度≥1.2mm，配机械开门锁，满足《建筑施工图纸》的防火要求。</w:t>
      </w:r>
    </w:p>
    <w:p>
      <w:pPr>
        <w:tabs>
          <w:tab w:val="left" w:pos="2040"/>
        </w:tabs>
        <w:spacing w:line="360" w:lineRule="auto"/>
        <w:ind w:firstLine="940" w:firstLineChars="4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2）泊梯开关：1层配置（手术专梯，按医院使用要求进行设置）</w:t>
      </w:r>
    </w:p>
    <w:p>
      <w:pPr>
        <w:tabs>
          <w:tab w:val="left" w:pos="2040"/>
        </w:tabs>
        <w:spacing w:line="360" w:lineRule="auto"/>
        <w:ind w:firstLine="940" w:firstLineChars="4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3）每层电梯厅配有上/下指示及楼层指示器、停站按钮等。厅外指示器、层指器均为</w:t>
      </w:r>
      <w:r>
        <w:rPr>
          <w:rFonts w:hint="eastAsia" w:ascii="宋体" w:hAnsi="宋体" w:eastAsia="宋体" w:cs="宋体"/>
          <w:b w:val="0"/>
          <w:bCs/>
          <w:color w:val="auto"/>
          <w:sz w:val="24"/>
          <w:szCs w:val="24"/>
          <w:highlight w:val="none"/>
        </w:rPr>
        <w:t>4</w:t>
      </w:r>
      <w:r>
        <w:rPr>
          <w:rFonts w:hint="eastAsia" w:ascii="宋体" w:hAnsi="宋体" w:eastAsia="宋体" w:cs="宋体"/>
          <w:b w:val="0"/>
          <w:bCs/>
          <w:color w:val="auto"/>
          <w:sz w:val="24"/>
          <w:szCs w:val="24"/>
          <w:highlight w:val="none"/>
          <w:lang w:val="en-US" w:eastAsia="zh-CN"/>
        </w:rPr>
        <w:t>英</w:t>
      </w:r>
      <w:r>
        <w:rPr>
          <w:rFonts w:hint="eastAsia" w:ascii="宋体" w:hAnsi="宋体" w:eastAsia="宋体" w:cs="宋体"/>
          <w:b w:val="0"/>
          <w:bCs/>
          <w:color w:val="auto"/>
          <w:sz w:val="24"/>
          <w:szCs w:val="24"/>
          <w:highlight w:val="none"/>
        </w:rPr>
        <w:t>寸以上</w:t>
      </w:r>
      <w:r>
        <w:rPr>
          <w:rFonts w:hint="eastAsia" w:ascii="宋体" w:hAnsi="宋体" w:eastAsia="宋体" w:cs="宋体"/>
          <w:b w:val="0"/>
          <w:bCs/>
          <w:color w:val="auto"/>
          <w:sz w:val="24"/>
          <w:szCs w:val="24"/>
          <w:highlight w:val="none"/>
          <w:lang w:val="en-US" w:eastAsia="zh-CN"/>
        </w:rPr>
        <w:t>真彩显示屏或液晶显示屏，按钮为</w:t>
      </w:r>
      <w:r>
        <w:rPr>
          <w:rFonts w:hint="eastAsia" w:ascii="宋体" w:hAnsi="宋体" w:eastAsia="宋体" w:cs="宋体"/>
          <w:color w:val="auto"/>
          <w:sz w:val="24"/>
          <w:szCs w:val="24"/>
          <w:highlight w:val="none"/>
        </w:rPr>
        <w:t>不锈钢</w:t>
      </w:r>
      <w:r>
        <w:rPr>
          <w:rFonts w:hint="eastAsia" w:ascii="宋体" w:hAnsi="宋体" w:eastAsia="宋体" w:cs="宋体"/>
          <w:color w:val="auto"/>
          <w:sz w:val="24"/>
          <w:szCs w:val="24"/>
          <w:highlight w:val="none"/>
          <w:lang w:val="en-US" w:eastAsia="zh-CN"/>
        </w:rPr>
        <w:t>发</w:t>
      </w:r>
      <w:r>
        <w:rPr>
          <w:rFonts w:hint="eastAsia" w:ascii="宋体" w:hAnsi="宋体" w:eastAsia="宋体" w:cs="宋体"/>
          <w:color w:val="auto"/>
          <w:sz w:val="24"/>
          <w:szCs w:val="24"/>
          <w:highlight w:val="none"/>
        </w:rPr>
        <w:t>光</w:t>
      </w:r>
      <w:r>
        <w:rPr>
          <w:rFonts w:hint="eastAsia" w:ascii="宋体" w:hAnsi="宋体" w:eastAsia="宋体" w:cs="宋体"/>
          <w:color w:val="auto"/>
          <w:sz w:val="24"/>
          <w:szCs w:val="24"/>
          <w:highlight w:val="none"/>
          <w:lang w:val="en-US" w:eastAsia="zh-CN"/>
        </w:rPr>
        <w:t>微动</w:t>
      </w:r>
      <w:r>
        <w:rPr>
          <w:rFonts w:hint="eastAsia" w:ascii="宋体" w:hAnsi="宋体" w:eastAsia="宋体" w:cs="宋体"/>
          <w:color w:val="auto"/>
          <w:sz w:val="24"/>
          <w:szCs w:val="24"/>
          <w:highlight w:val="none"/>
        </w:rPr>
        <w:t>电触钮</w:t>
      </w:r>
      <w:r>
        <w:rPr>
          <w:rFonts w:hint="eastAsia" w:ascii="宋体" w:hAnsi="宋体" w:eastAsia="宋体" w:cs="宋体"/>
          <w:b w:val="0"/>
          <w:bCs/>
          <w:color w:val="auto"/>
          <w:sz w:val="24"/>
          <w:szCs w:val="24"/>
          <w:highlight w:val="none"/>
          <w:lang w:val="en-US" w:eastAsia="zh-CN"/>
        </w:rPr>
        <w:t>。</w:t>
      </w:r>
    </w:p>
    <w:p>
      <w:pPr>
        <w:tabs>
          <w:tab w:val="left" w:pos="2040"/>
        </w:tabs>
        <w:spacing w:line="360" w:lineRule="auto"/>
        <w:ind w:firstLine="47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10.开门方式：中分门，</w:t>
      </w:r>
      <w:r>
        <w:rPr>
          <w:rFonts w:hint="eastAsia" w:cs="宋体"/>
          <w:b w:val="0"/>
          <w:bCs/>
          <w:color w:val="auto"/>
          <w:sz w:val="24"/>
          <w:szCs w:val="24"/>
          <w:highlight w:val="none"/>
          <w:lang w:val="en-US" w:eastAsia="zh-CN"/>
        </w:rPr>
        <w:t>其中医用电梯及载重量1.6T污物电梯</w:t>
      </w:r>
      <w:r>
        <w:rPr>
          <w:rFonts w:hint="eastAsia" w:ascii="宋体" w:hAnsi="宋体" w:eastAsia="宋体" w:cs="宋体"/>
          <w:b w:val="0"/>
          <w:bCs/>
          <w:color w:val="auto"/>
          <w:sz w:val="24"/>
          <w:szCs w:val="24"/>
          <w:highlight w:val="none"/>
          <w:lang w:val="en-US" w:eastAsia="zh-CN"/>
        </w:rPr>
        <w:t>开门净宽度≥1.2m。</w:t>
      </w:r>
    </w:p>
    <w:p>
      <w:pPr>
        <w:tabs>
          <w:tab w:val="left" w:pos="2040"/>
        </w:tabs>
        <w:spacing w:line="360" w:lineRule="auto"/>
        <w:ind w:firstLine="470" w:firstLineChars="200"/>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11.门机：变频变压调速电脑控制（VVVF），整机原厂、原品牌、原产地原装</w:t>
      </w:r>
      <w:r>
        <w:rPr>
          <w:rFonts w:hint="eastAsia" w:ascii="宋体" w:hAnsi="宋体" w:eastAsia="宋体" w:cs="宋体"/>
          <w:b/>
          <w:bCs/>
          <w:color w:val="auto"/>
          <w:sz w:val="24"/>
          <w:szCs w:val="24"/>
          <w:highlight w:val="none"/>
          <w:lang w:val="en-US" w:eastAsia="zh-CN"/>
        </w:rPr>
        <w:t>欧美日</w:t>
      </w:r>
      <w:r>
        <w:rPr>
          <w:rFonts w:hint="eastAsia" w:ascii="宋体" w:hAnsi="宋体" w:eastAsia="宋体" w:cs="宋体"/>
          <w:b/>
          <w:bCs w:val="0"/>
          <w:color w:val="auto"/>
          <w:sz w:val="24"/>
          <w:szCs w:val="24"/>
          <w:highlight w:val="none"/>
          <w:lang w:val="en-US" w:eastAsia="zh-CN"/>
        </w:rPr>
        <w:t>进口产品</w:t>
      </w:r>
      <w:r>
        <w:rPr>
          <w:rFonts w:hint="eastAsia"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其中HT-1货梯1</w:t>
      </w:r>
      <w:r>
        <w:rPr>
          <w:rFonts w:hint="eastAsia" w:cs="宋体"/>
          <w:b/>
          <w:bCs/>
          <w:color w:val="auto"/>
          <w:sz w:val="24"/>
          <w:szCs w:val="24"/>
          <w:highlight w:val="none"/>
          <w:lang w:val="en-US" w:eastAsia="zh-CN"/>
        </w:rPr>
        <w:t>门机</w:t>
      </w:r>
      <w:r>
        <w:rPr>
          <w:rFonts w:hint="eastAsia" w:cs="宋体"/>
          <w:b/>
          <w:bCs/>
          <w:color w:val="auto"/>
          <w:sz w:val="24"/>
          <w:szCs w:val="24"/>
          <w:highlight w:val="none"/>
          <w:lang w:eastAsia="zh-CN"/>
        </w:rPr>
        <w:t>要求</w:t>
      </w:r>
      <w:r>
        <w:rPr>
          <w:rFonts w:hint="eastAsia" w:ascii="宋体" w:hAnsi="宋体" w:eastAsia="宋体" w:cs="宋体"/>
          <w:b/>
          <w:bCs w:val="0"/>
          <w:color w:val="auto"/>
          <w:sz w:val="24"/>
          <w:szCs w:val="24"/>
          <w:highlight w:val="none"/>
          <w:lang w:val="en-US" w:eastAsia="zh-CN"/>
        </w:rPr>
        <w:t>整机</w:t>
      </w:r>
      <w:r>
        <w:rPr>
          <w:rFonts w:hint="eastAsia" w:ascii="宋体" w:hAnsi="宋体" w:eastAsia="宋体" w:cs="宋体"/>
          <w:b/>
          <w:bCs/>
          <w:color w:val="auto"/>
          <w:sz w:val="24"/>
          <w:szCs w:val="24"/>
          <w:highlight w:val="none"/>
          <w:lang w:val="en-US" w:eastAsia="zh-CN"/>
        </w:rPr>
        <w:t>原厂、原品牌</w:t>
      </w:r>
      <w:r>
        <w:rPr>
          <w:rFonts w:hint="eastAsia" w:cs="宋体"/>
          <w:b/>
          <w:bCs/>
          <w:color w:val="auto"/>
          <w:sz w:val="24"/>
          <w:szCs w:val="24"/>
          <w:highlight w:val="none"/>
          <w:lang w:val="en-US" w:eastAsia="zh-CN"/>
        </w:rPr>
        <w:t>）</w:t>
      </w:r>
      <w:r>
        <w:rPr>
          <w:rFonts w:hint="eastAsia" w:ascii="宋体" w:hAnsi="宋体" w:eastAsia="宋体" w:cs="宋体"/>
          <w:b/>
          <w:bCs w:val="0"/>
          <w:color w:val="auto"/>
          <w:sz w:val="24"/>
          <w:szCs w:val="24"/>
          <w:highlight w:val="none"/>
          <w:lang w:val="en-US" w:eastAsia="zh-CN"/>
        </w:rPr>
        <w:t>。</w:t>
      </w:r>
    </w:p>
    <w:p>
      <w:pPr>
        <w:tabs>
          <w:tab w:val="left" w:pos="2040"/>
        </w:tabs>
        <w:spacing w:line="360" w:lineRule="auto"/>
        <w:ind w:firstLine="47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12.光幕门保护装置，位于轿门侧面，光束数不少于128束。</w:t>
      </w:r>
    </w:p>
    <w:p>
      <w:pPr>
        <w:tabs>
          <w:tab w:val="left" w:pos="2040"/>
        </w:tabs>
        <w:spacing w:line="360" w:lineRule="auto"/>
        <w:ind w:firstLine="47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13.轿厢</w:t>
      </w:r>
    </w:p>
    <w:p>
      <w:pPr>
        <w:tabs>
          <w:tab w:val="left" w:pos="2040"/>
        </w:tabs>
        <w:spacing w:line="360" w:lineRule="auto"/>
        <w:ind w:firstLine="940" w:firstLineChars="4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厢顶：304发纹不锈钢吊顶，板材厚度≥1.2mm，配有足够亮度的照明（投标时提供三个以上吊顶方案，具体方案由买方与中标人签订合同时商定，报价含在投标总价中），通风装置为隐藏式轴流风扇，备有应急照明电源（应急灯应采用免维护蓄电池，自动充电，供电时间应不小于4小时）。轿厢灯及风机具有自动节能功能。轿厢内净高≥2600mm</w:t>
      </w:r>
      <w:r>
        <w:rPr>
          <w:rFonts w:hint="eastAsia" w:cs="宋体"/>
          <w:b w:val="0"/>
          <w:bCs/>
          <w:color w:val="auto"/>
          <w:sz w:val="24"/>
          <w:szCs w:val="24"/>
          <w:highlight w:val="none"/>
          <w:lang w:val="en-US" w:eastAsia="zh-CN"/>
        </w:rPr>
        <w:t>（不含货梯）</w:t>
      </w:r>
      <w:r>
        <w:rPr>
          <w:rFonts w:hint="eastAsia" w:ascii="宋体" w:hAnsi="宋体" w:eastAsia="宋体" w:cs="宋体"/>
          <w:b w:val="0"/>
          <w:bCs/>
          <w:color w:val="auto"/>
          <w:sz w:val="24"/>
          <w:szCs w:val="24"/>
          <w:highlight w:val="none"/>
          <w:lang w:val="en-US" w:eastAsia="zh-CN"/>
        </w:rPr>
        <w:t>。</w:t>
      </w:r>
    </w:p>
    <w:p>
      <w:pPr>
        <w:tabs>
          <w:tab w:val="left" w:pos="2040"/>
        </w:tabs>
        <w:spacing w:line="360" w:lineRule="auto"/>
        <w:ind w:firstLine="940" w:firstLineChars="4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2）轿厢轿壁均采用304发纹不锈钢板，要求不锈钢厚度≥1.2mm。</w:t>
      </w:r>
    </w:p>
    <w:p>
      <w:pPr>
        <w:tabs>
          <w:tab w:val="left" w:pos="2040"/>
        </w:tabs>
        <w:spacing w:line="360" w:lineRule="auto"/>
        <w:ind w:firstLine="940" w:firstLineChars="4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3）轿厢地板采用304防滑不锈钢花纹地板。</w:t>
      </w:r>
    </w:p>
    <w:p>
      <w:pPr>
        <w:tabs>
          <w:tab w:val="left" w:pos="2040"/>
        </w:tabs>
        <w:spacing w:line="360" w:lineRule="auto"/>
        <w:ind w:firstLine="940" w:firstLineChars="4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4）厅门：304发纹不锈钢，板材厚度≥1.2mm；厅门坎：硬质铝合金；</w:t>
      </w:r>
    </w:p>
    <w:p>
      <w:pPr>
        <w:pStyle w:val="13"/>
        <w:spacing w:line="360" w:lineRule="auto"/>
        <w:ind w:firstLine="940" w:firstLineChars="400"/>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）隐藏式对讲机，五方对讲系统：五方对讲系统所需管线、设备、安装、协调等全部包含在电梯报价内，中标后不再调整。</w:t>
      </w:r>
      <w:r>
        <w:rPr>
          <w:rFonts w:hint="eastAsia" w:ascii="宋体" w:hAnsi="宋体" w:eastAsia="宋体" w:cs="宋体"/>
          <w:color w:val="auto"/>
          <w:kern w:val="0"/>
          <w:sz w:val="24"/>
          <w:szCs w:val="24"/>
          <w:highlight w:val="none"/>
          <w:shd w:val="clear" w:color="auto" w:fill="FFFFFF"/>
        </w:rPr>
        <w:t>机房到监控室布线不在本次采购范围内。</w:t>
      </w:r>
    </w:p>
    <w:p>
      <w:pPr>
        <w:spacing w:line="360" w:lineRule="auto"/>
        <w:ind w:firstLine="94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）中文标示名牌（原品牌）、用途、限乘人数、限载重量。</w:t>
      </w:r>
    </w:p>
    <w:p>
      <w:pPr>
        <w:spacing w:line="360" w:lineRule="auto"/>
        <w:ind w:firstLine="940" w:firstLineChars="4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）以钥匙操作的开关箱内有停止开关、照明开关、风扇开关等其他开关</w:t>
      </w:r>
      <w:r>
        <w:rPr>
          <w:rFonts w:hint="eastAsia" w:ascii="宋体" w:hAnsi="宋体" w:eastAsia="宋体" w:cs="宋体"/>
          <w:color w:val="auto"/>
          <w:sz w:val="24"/>
          <w:szCs w:val="24"/>
          <w:highlight w:val="none"/>
          <w:lang w:eastAsia="zh-CN"/>
        </w:rPr>
        <w:t>。</w:t>
      </w:r>
    </w:p>
    <w:p>
      <w:pPr>
        <w:spacing w:line="360" w:lineRule="auto"/>
        <w:ind w:firstLine="94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）电梯轿厢内配置方向指示器、楼层显示器、控制按钮、紧急报警按钮、对讲机通讯按钮等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所有按钮均为</w:t>
      </w:r>
      <w:r>
        <w:rPr>
          <w:rFonts w:hint="eastAsia" w:ascii="宋体" w:hAnsi="宋体" w:eastAsia="宋体" w:cs="宋体"/>
          <w:color w:val="auto"/>
          <w:sz w:val="24"/>
          <w:szCs w:val="24"/>
          <w:highlight w:val="none"/>
        </w:rPr>
        <w:t>不锈钢</w:t>
      </w:r>
      <w:r>
        <w:rPr>
          <w:rFonts w:hint="eastAsia" w:ascii="宋体" w:hAnsi="宋体" w:eastAsia="宋体" w:cs="宋体"/>
          <w:color w:val="auto"/>
          <w:sz w:val="24"/>
          <w:szCs w:val="24"/>
          <w:highlight w:val="none"/>
          <w:lang w:val="en-US" w:eastAsia="zh-CN"/>
        </w:rPr>
        <w:t>发</w:t>
      </w:r>
      <w:r>
        <w:rPr>
          <w:rFonts w:hint="eastAsia" w:ascii="宋体" w:hAnsi="宋体" w:eastAsia="宋体" w:cs="宋体"/>
          <w:color w:val="auto"/>
          <w:sz w:val="24"/>
          <w:szCs w:val="24"/>
          <w:highlight w:val="none"/>
        </w:rPr>
        <w:t>光</w:t>
      </w:r>
      <w:r>
        <w:rPr>
          <w:rFonts w:hint="eastAsia" w:ascii="宋体" w:hAnsi="宋体" w:eastAsia="宋体" w:cs="宋体"/>
          <w:color w:val="auto"/>
          <w:sz w:val="24"/>
          <w:szCs w:val="24"/>
          <w:highlight w:val="none"/>
          <w:lang w:val="en-US" w:eastAsia="zh-CN"/>
        </w:rPr>
        <w:t>微动</w:t>
      </w:r>
      <w:r>
        <w:rPr>
          <w:rFonts w:hint="eastAsia" w:ascii="宋体" w:hAnsi="宋体" w:eastAsia="宋体" w:cs="宋体"/>
          <w:color w:val="auto"/>
          <w:sz w:val="24"/>
          <w:szCs w:val="24"/>
          <w:highlight w:val="none"/>
        </w:rPr>
        <w:t>电触钮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操纵箱及其面板为304发纹不锈钢，配置在厅门一侧，轿内指示器等均为</w:t>
      </w:r>
      <w:r>
        <w:rPr>
          <w:rFonts w:hint="eastAsia" w:ascii="宋体" w:hAnsi="宋体" w:eastAsia="宋体" w:cs="宋体"/>
          <w:b w:val="0"/>
          <w:bCs/>
          <w:color w:val="auto"/>
          <w:sz w:val="24"/>
          <w:szCs w:val="24"/>
          <w:highlight w:val="none"/>
        </w:rPr>
        <w:t>5.7</w:t>
      </w:r>
      <w:r>
        <w:rPr>
          <w:rFonts w:hint="eastAsia" w:ascii="宋体" w:hAnsi="宋体" w:eastAsia="宋体" w:cs="宋体"/>
          <w:b w:val="0"/>
          <w:bCs/>
          <w:color w:val="auto"/>
          <w:sz w:val="24"/>
          <w:szCs w:val="24"/>
          <w:highlight w:val="none"/>
          <w:lang w:val="en-US" w:eastAsia="zh-CN"/>
        </w:rPr>
        <w:t>英</w:t>
      </w:r>
      <w:r>
        <w:rPr>
          <w:rFonts w:hint="eastAsia" w:ascii="宋体" w:hAnsi="宋体" w:eastAsia="宋体" w:cs="宋体"/>
          <w:b w:val="0"/>
          <w:bCs/>
          <w:color w:val="auto"/>
          <w:sz w:val="24"/>
          <w:szCs w:val="24"/>
          <w:highlight w:val="none"/>
        </w:rPr>
        <w:t>寸以上</w:t>
      </w:r>
      <w:r>
        <w:rPr>
          <w:rFonts w:hint="eastAsia" w:ascii="宋体" w:hAnsi="宋体" w:eastAsia="宋体" w:cs="宋体"/>
          <w:color w:val="auto"/>
          <w:sz w:val="24"/>
          <w:szCs w:val="24"/>
          <w:highlight w:val="none"/>
        </w:rPr>
        <w:t>真彩显示屏或液晶显示屏。对开门电梯需配置双操纵盘，即两边轿门都需要配置同样操控系统。</w:t>
      </w:r>
    </w:p>
    <w:p>
      <w:pPr>
        <w:spacing w:line="360" w:lineRule="auto"/>
        <w:ind w:firstLine="94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）所有医梯需配备主操纵盘及残疾人操纵盘，三面</w:t>
      </w:r>
      <w:r>
        <w:rPr>
          <w:rFonts w:hint="eastAsia" w:cs="宋体"/>
          <w:color w:val="auto"/>
          <w:sz w:val="24"/>
          <w:szCs w:val="24"/>
          <w:highlight w:val="none"/>
          <w:lang w:val="en-US" w:eastAsia="zh-CN"/>
        </w:rPr>
        <w:t>304</w:t>
      </w:r>
      <w:r>
        <w:rPr>
          <w:rFonts w:hint="eastAsia" w:ascii="宋体" w:hAnsi="宋体" w:eastAsia="宋体" w:cs="宋体"/>
          <w:color w:val="auto"/>
          <w:sz w:val="24"/>
          <w:szCs w:val="24"/>
          <w:highlight w:val="none"/>
        </w:rPr>
        <w:t xml:space="preserve">发纹不锈钢扶手或高档抗菌扶手并配置盲文按钮。                                                                          </w:t>
      </w:r>
    </w:p>
    <w:p>
      <w:pPr>
        <w:tabs>
          <w:tab w:val="left" w:pos="2040"/>
        </w:tabs>
        <w:spacing w:line="360" w:lineRule="auto"/>
        <w:ind w:firstLine="940" w:firstLineChars="400"/>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lang w:val="en-US" w:eastAsia="zh-CN"/>
        </w:rPr>
        <w:t>11）</w:t>
      </w:r>
      <w:r>
        <w:rPr>
          <w:rFonts w:hint="eastAsia" w:ascii="宋体" w:hAnsi="宋体" w:eastAsia="宋体" w:cs="宋体"/>
          <w:color w:val="auto"/>
          <w:sz w:val="24"/>
          <w:szCs w:val="24"/>
          <w:highlight w:val="none"/>
        </w:rPr>
        <w:t>所有无障碍电梯需配备主操纵盘及残疾人操纵盘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三面</w:t>
      </w:r>
      <w:r>
        <w:rPr>
          <w:rFonts w:hint="eastAsia" w:cs="宋体"/>
          <w:color w:val="auto"/>
          <w:sz w:val="24"/>
          <w:szCs w:val="24"/>
          <w:highlight w:val="none"/>
          <w:lang w:val="en-US" w:eastAsia="zh-CN"/>
        </w:rPr>
        <w:t>304</w:t>
      </w:r>
      <w:r>
        <w:rPr>
          <w:rFonts w:hint="eastAsia" w:ascii="宋体" w:hAnsi="宋体" w:eastAsia="宋体" w:cs="宋体"/>
          <w:color w:val="auto"/>
          <w:sz w:val="24"/>
          <w:szCs w:val="24"/>
          <w:highlight w:val="none"/>
        </w:rPr>
        <w:t>发纹不锈钢扶手或高档抗菌扶手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中文语音报站（可关闭）。                                    </w:t>
      </w:r>
    </w:p>
    <w:p>
      <w:pPr>
        <w:tabs>
          <w:tab w:val="left" w:pos="2040"/>
        </w:tabs>
        <w:spacing w:line="360" w:lineRule="auto"/>
        <w:ind w:firstLine="235" w:firstLineChars="100"/>
        <w:rPr>
          <w:rFonts w:hint="eastAsia" w:ascii="宋体" w:hAnsi="宋体" w:eastAsia="宋体" w:cs="宋体"/>
          <w:b w:val="0"/>
          <w:bCs/>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b w:val="0"/>
          <w:bCs/>
          <w:color w:val="auto"/>
          <w:sz w:val="24"/>
          <w:szCs w:val="24"/>
          <w:highlight w:val="none"/>
          <w:lang w:val="en-US" w:eastAsia="zh-CN"/>
        </w:rPr>
        <w:t>12</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 xml:space="preserve">轿厢对重采用包塑补偿链，减少运行噪音。      </w:t>
      </w:r>
    </w:p>
    <w:p>
      <w:pPr>
        <w:tabs>
          <w:tab w:val="left" w:pos="2040"/>
        </w:tabs>
        <w:spacing w:line="360" w:lineRule="auto"/>
        <w:ind w:firstLine="940" w:firstLineChars="4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13</w:t>
      </w:r>
      <w:r>
        <w:rPr>
          <w:rFonts w:hint="eastAsia" w:ascii="宋体" w:hAnsi="宋体" w:eastAsia="宋体" w:cs="宋体"/>
          <w:b w:val="0"/>
          <w:bCs/>
          <w:color w:val="auto"/>
          <w:sz w:val="24"/>
          <w:szCs w:val="24"/>
          <w:highlight w:val="none"/>
        </w:rPr>
        <w:t xml:space="preserve">）厅门、轿门采用静音门滑块，上悬挂配置，减少运行噪音。      </w:t>
      </w:r>
    </w:p>
    <w:p>
      <w:pPr>
        <w:tabs>
          <w:tab w:val="left" w:pos="2040"/>
        </w:tabs>
        <w:spacing w:line="360" w:lineRule="auto"/>
        <w:ind w:firstLine="940" w:firstLineChars="4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14</w:t>
      </w:r>
      <w:r>
        <w:rPr>
          <w:rFonts w:hint="eastAsia" w:ascii="宋体" w:hAnsi="宋体" w:eastAsia="宋体" w:cs="宋体"/>
          <w:b w:val="0"/>
          <w:bCs/>
          <w:color w:val="auto"/>
          <w:sz w:val="24"/>
          <w:szCs w:val="24"/>
          <w:highlight w:val="none"/>
        </w:rPr>
        <w:t xml:space="preserve">）主导向轮、反缩轮等均采用耐磨金属轮。 </w:t>
      </w:r>
    </w:p>
    <w:p>
      <w:pPr>
        <w:pStyle w:val="23"/>
        <w:ind w:left="0" w:leftChars="0" w:firstLine="470" w:firstLineChars="200"/>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lang w:val="en-US" w:eastAsia="zh-CN"/>
        </w:rPr>
        <w:t>14.电梯</w:t>
      </w:r>
      <w:r>
        <w:rPr>
          <w:rFonts w:hint="eastAsia" w:ascii="宋体" w:hAnsi="宋体" w:eastAsia="宋体" w:cs="宋体"/>
          <w:b w:val="0"/>
          <w:bCs/>
          <w:color w:val="auto"/>
          <w:sz w:val="24"/>
          <w:szCs w:val="24"/>
          <w:highlight w:val="none"/>
        </w:rPr>
        <w:t>厅方向指示</w:t>
      </w:r>
      <w:r>
        <w:rPr>
          <w:rFonts w:hint="eastAsia" w:ascii="宋体" w:hAnsi="宋体" w:eastAsia="宋体" w:cs="宋体"/>
          <w:b w:val="0"/>
          <w:bCs/>
          <w:color w:val="auto"/>
          <w:sz w:val="24"/>
          <w:szCs w:val="24"/>
          <w:highlight w:val="none"/>
          <w:lang w:eastAsia="zh-CN"/>
        </w:rPr>
        <w:t>和</w:t>
      </w:r>
      <w:r>
        <w:rPr>
          <w:rFonts w:hint="eastAsia" w:ascii="宋体" w:hAnsi="宋体" w:eastAsia="宋体" w:cs="宋体"/>
          <w:color w:val="auto"/>
          <w:sz w:val="24"/>
          <w:szCs w:val="24"/>
          <w:highlight w:val="none"/>
        </w:rPr>
        <w:t>楼层显示器</w:t>
      </w:r>
      <w:r>
        <w:rPr>
          <w:rFonts w:hint="eastAsia" w:ascii="宋体" w:hAnsi="宋体" w:eastAsia="宋体" w:cs="宋体"/>
          <w:b w:val="0"/>
          <w:bCs/>
          <w:color w:val="auto"/>
          <w:sz w:val="24"/>
          <w:szCs w:val="24"/>
          <w:highlight w:val="none"/>
          <w:lang w:eastAsia="zh-CN"/>
        </w:rPr>
        <w:t>，群控电梯设置</w:t>
      </w:r>
      <w:r>
        <w:rPr>
          <w:rFonts w:hint="eastAsia" w:ascii="宋体" w:hAnsi="宋体" w:eastAsia="宋体" w:cs="宋体"/>
          <w:b w:val="0"/>
          <w:bCs/>
          <w:color w:val="auto"/>
          <w:sz w:val="24"/>
          <w:szCs w:val="24"/>
          <w:highlight w:val="none"/>
          <w:lang w:val="en-US" w:eastAsia="zh-CN"/>
        </w:rPr>
        <w:t>厅外到站预报灯，</w:t>
      </w:r>
      <w:r>
        <w:rPr>
          <w:rFonts w:hint="eastAsia" w:ascii="宋体" w:hAnsi="宋体" w:eastAsia="宋体" w:cs="宋体"/>
          <w:b w:val="0"/>
          <w:bCs/>
          <w:color w:val="auto"/>
          <w:sz w:val="24"/>
          <w:szCs w:val="24"/>
          <w:highlight w:val="none"/>
        </w:rPr>
        <w:t>厅门外呼为4</w:t>
      </w:r>
      <w:r>
        <w:rPr>
          <w:rFonts w:hint="eastAsia" w:ascii="宋体" w:hAnsi="宋体" w:eastAsia="宋体" w:cs="宋体"/>
          <w:b w:val="0"/>
          <w:bCs/>
          <w:color w:val="auto"/>
          <w:sz w:val="24"/>
          <w:szCs w:val="24"/>
          <w:highlight w:val="none"/>
          <w:lang w:val="en-US" w:eastAsia="zh-CN"/>
        </w:rPr>
        <w:t>英</w:t>
      </w:r>
      <w:r>
        <w:rPr>
          <w:rFonts w:hint="eastAsia" w:ascii="宋体" w:hAnsi="宋体" w:eastAsia="宋体" w:cs="宋体"/>
          <w:b w:val="0"/>
          <w:bCs/>
          <w:color w:val="auto"/>
          <w:sz w:val="24"/>
          <w:szCs w:val="24"/>
          <w:highlight w:val="none"/>
        </w:rPr>
        <w:t>寸以上液晶显示</w:t>
      </w:r>
      <w:r>
        <w:rPr>
          <w:rFonts w:hint="eastAsia" w:ascii="宋体" w:hAnsi="宋体" w:eastAsia="宋体" w:cs="宋体"/>
          <w:b w:val="0"/>
          <w:bCs/>
          <w:color w:val="auto"/>
          <w:sz w:val="24"/>
          <w:szCs w:val="24"/>
          <w:highlight w:val="none"/>
          <w:lang w:eastAsia="zh-CN"/>
        </w:rPr>
        <w:t>；</w:t>
      </w:r>
    </w:p>
    <w:p>
      <w:pPr>
        <w:tabs>
          <w:tab w:val="left" w:pos="2040"/>
        </w:tabs>
        <w:spacing w:line="360" w:lineRule="auto"/>
        <w:ind w:firstLine="47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15.</w:t>
      </w:r>
      <w:r>
        <w:rPr>
          <w:rFonts w:hint="eastAsia" w:ascii="宋体" w:hAnsi="宋体" w:eastAsia="宋体" w:cs="宋体"/>
          <w:color w:val="auto"/>
          <w:kern w:val="0"/>
          <w:sz w:val="24"/>
          <w:szCs w:val="24"/>
          <w:highlight w:val="none"/>
          <w:shd w:val="clear" w:color="auto" w:fill="FFFFFF"/>
        </w:rPr>
        <w:t>预留安全监控用视频</w:t>
      </w:r>
      <w:r>
        <w:rPr>
          <w:rFonts w:hint="eastAsia" w:ascii="宋体" w:hAnsi="宋体" w:eastAsia="宋体" w:cs="宋体"/>
          <w:color w:val="auto"/>
          <w:kern w:val="0"/>
          <w:sz w:val="24"/>
          <w:szCs w:val="24"/>
          <w:highlight w:val="none"/>
          <w:shd w:val="clear" w:color="auto" w:fill="FFFFFF"/>
          <w:lang w:val="en-US" w:eastAsia="zh-CN"/>
        </w:rPr>
        <w:t>及高清液晶广告屏</w:t>
      </w:r>
      <w:r>
        <w:rPr>
          <w:rFonts w:hint="eastAsia" w:ascii="宋体" w:hAnsi="宋体" w:eastAsia="宋体" w:cs="宋体"/>
          <w:color w:val="auto"/>
          <w:kern w:val="0"/>
          <w:sz w:val="24"/>
          <w:szCs w:val="24"/>
          <w:highlight w:val="none"/>
          <w:shd w:val="clear" w:color="auto" w:fill="FFFFFF"/>
        </w:rPr>
        <w:t>接口</w:t>
      </w:r>
      <w:r>
        <w:rPr>
          <w:rFonts w:hint="eastAsia" w:ascii="宋体" w:hAnsi="宋体" w:eastAsia="宋体" w:cs="宋体"/>
          <w:color w:val="auto"/>
          <w:kern w:val="0"/>
          <w:sz w:val="24"/>
          <w:szCs w:val="24"/>
          <w:highlight w:val="none"/>
          <w:shd w:val="clear" w:color="auto" w:fill="FFFFFF"/>
          <w:lang w:eastAsia="zh-CN"/>
        </w:rPr>
        <w:t>，</w:t>
      </w:r>
      <w:r>
        <w:rPr>
          <w:rFonts w:hint="eastAsia" w:ascii="宋体" w:hAnsi="宋体" w:eastAsia="宋体" w:cs="宋体"/>
          <w:color w:val="auto"/>
          <w:kern w:val="0"/>
          <w:sz w:val="24"/>
          <w:szCs w:val="24"/>
          <w:highlight w:val="none"/>
          <w:shd w:val="clear" w:color="auto" w:fill="FFFFFF"/>
          <w:lang w:val="en-US" w:eastAsia="zh-CN"/>
        </w:rPr>
        <w:t>每部电梯</w:t>
      </w:r>
      <w:r>
        <w:rPr>
          <w:rFonts w:hint="eastAsia" w:ascii="宋体" w:hAnsi="宋体" w:eastAsia="宋体" w:cs="宋体"/>
          <w:color w:val="auto"/>
          <w:sz w:val="24"/>
          <w:szCs w:val="24"/>
          <w:highlight w:val="none"/>
          <w:lang w:val="en-US" w:eastAsia="zh-CN"/>
        </w:rPr>
        <w:t>随行电缆中应配有屏蔽监控及液晶广告屏电缆线（网线型，含视频、声音和电源），</w:t>
      </w:r>
      <w:r>
        <w:rPr>
          <w:rFonts w:hint="eastAsia" w:ascii="宋体" w:hAnsi="宋体" w:eastAsia="宋体" w:cs="宋体"/>
          <w:color w:val="auto"/>
          <w:kern w:val="0"/>
          <w:sz w:val="24"/>
          <w:szCs w:val="24"/>
          <w:highlight w:val="none"/>
          <w:shd w:val="clear" w:color="auto" w:fill="FFFFFF"/>
        </w:rPr>
        <w:t>中标人负责施工机房到轿厢的监控系统线路布置并开通此功能</w:t>
      </w:r>
      <w:r>
        <w:rPr>
          <w:rFonts w:hint="eastAsia" w:ascii="宋体" w:hAnsi="宋体" w:eastAsia="宋体" w:cs="宋体"/>
          <w:color w:val="auto"/>
          <w:kern w:val="0"/>
          <w:sz w:val="24"/>
          <w:szCs w:val="24"/>
          <w:highlight w:val="none"/>
          <w:shd w:val="clear" w:color="auto" w:fill="FFFFFF"/>
          <w:lang w:eastAsia="zh-CN"/>
        </w:rPr>
        <w:t>（</w:t>
      </w:r>
      <w:r>
        <w:rPr>
          <w:rFonts w:hint="eastAsia" w:ascii="宋体" w:hAnsi="宋体" w:eastAsia="宋体" w:cs="宋体"/>
          <w:color w:val="auto"/>
          <w:kern w:val="0"/>
          <w:sz w:val="24"/>
          <w:szCs w:val="24"/>
          <w:highlight w:val="none"/>
          <w:shd w:val="clear" w:color="auto" w:fill="FFFFFF"/>
          <w:lang w:val="en-US" w:eastAsia="zh-CN"/>
        </w:rPr>
        <w:t>故障困人时液晶屏自动播放安全视频</w:t>
      </w:r>
      <w:r>
        <w:rPr>
          <w:rFonts w:hint="eastAsia" w:ascii="宋体" w:hAnsi="宋体" w:eastAsia="宋体" w:cs="宋体"/>
          <w:color w:val="auto"/>
          <w:kern w:val="0"/>
          <w:sz w:val="24"/>
          <w:szCs w:val="24"/>
          <w:highlight w:val="none"/>
          <w:shd w:val="clear" w:color="auto" w:fill="FFFFFF"/>
          <w:lang w:eastAsia="zh-CN"/>
        </w:rPr>
        <w:t>）</w:t>
      </w:r>
      <w:r>
        <w:rPr>
          <w:rFonts w:hint="eastAsia" w:ascii="宋体" w:hAnsi="宋体" w:eastAsia="宋体" w:cs="宋体"/>
          <w:color w:val="auto"/>
          <w:kern w:val="0"/>
          <w:sz w:val="24"/>
          <w:szCs w:val="24"/>
          <w:highlight w:val="none"/>
          <w:shd w:val="clear" w:color="auto" w:fill="FFFFFF"/>
        </w:rPr>
        <w:t>。</w:t>
      </w:r>
    </w:p>
    <w:p>
      <w:pPr>
        <w:tabs>
          <w:tab w:val="left" w:pos="2040"/>
        </w:tabs>
        <w:spacing w:line="360" w:lineRule="auto"/>
        <w:ind w:firstLine="47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16</w:t>
      </w:r>
      <w:r>
        <w:rPr>
          <w:rFonts w:hint="eastAsia" w:ascii="宋体" w:hAnsi="宋体" w:eastAsia="宋体" w:cs="宋体"/>
          <w:b w:val="0"/>
          <w:bCs/>
          <w:color w:val="auto"/>
          <w:sz w:val="24"/>
          <w:szCs w:val="24"/>
          <w:highlight w:val="none"/>
        </w:rPr>
        <w:t>.电梯主导轨</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限速器、安全钳、钢丝绳等部件要求为国内或国际知名品牌</w:t>
      </w:r>
      <w:r>
        <w:rPr>
          <w:rFonts w:hint="eastAsia" w:ascii="宋体" w:hAnsi="宋体" w:eastAsia="宋体" w:cs="宋体"/>
          <w:b w:val="0"/>
          <w:bCs/>
          <w:color w:val="auto"/>
          <w:sz w:val="24"/>
          <w:szCs w:val="24"/>
          <w:highlight w:val="none"/>
        </w:rPr>
        <w:t xml:space="preserve">并标明原产地。      </w:t>
      </w:r>
    </w:p>
    <w:p>
      <w:pPr>
        <w:tabs>
          <w:tab w:val="left" w:pos="2040"/>
        </w:tabs>
        <w:spacing w:line="360" w:lineRule="auto"/>
        <w:ind w:firstLine="47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17</w:t>
      </w:r>
      <w:r>
        <w:rPr>
          <w:rFonts w:hint="eastAsia" w:ascii="宋体" w:hAnsi="宋体" w:eastAsia="宋体" w:cs="宋体"/>
          <w:b w:val="0"/>
          <w:bCs/>
          <w:color w:val="auto"/>
          <w:sz w:val="24"/>
          <w:szCs w:val="24"/>
          <w:highlight w:val="none"/>
        </w:rPr>
        <w:t>.电梯基站位置可调，具有基站返回功能。</w:t>
      </w:r>
      <w:r>
        <w:rPr>
          <w:rFonts w:hint="eastAsia" w:ascii="宋体" w:hAnsi="宋体" w:eastAsia="宋体" w:cs="宋体"/>
          <w:b w:val="0"/>
          <w:bCs/>
          <w:color w:val="auto"/>
          <w:sz w:val="24"/>
          <w:szCs w:val="24"/>
          <w:highlight w:val="none"/>
        </w:rPr>
        <w:tab/>
      </w:r>
    </w:p>
    <w:p>
      <w:pPr>
        <w:tabs>
          <w:tab w:val="left" w:pos="2040"/>
        </w:tabs>
        <w:spacing w:line="360" w:lineRule="auto"/>
        <w:ind w:firstLine="47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18</w:t>
      </w:r>
      <w:r>
        <w:rPr>
          <w:rFonts w:hint="eastAsia" w:ascii="宋体" w:hAnsi="宋体" w:eastAsia="宋体" w:cs="宋体"/>
          <w:b w:val="0"/>
          <w:bCs/>
          <w:color w:val="auto"/>
          <w:sz w:val="24"/>
          <w:szCs w:val="24"/>
          <w:highlight w:val="none"/>
        </w:rPr>
        <w:t>.电子称重装置，控制柜中可随时显示荷重量。</w:t>
      </w:r>
    </w:p>
    <w:p>
      <w:pPr>
        <w:tabs>
          <w:tab w:val="left" w:pos="2040"/>
        </w:tabs>
        <w:spacing w:line="360" w:lineRule="auto"/>
        <w:ind w:firstLine="47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19</w:t>
      </w:r>
      <w:r>
        <w:rPr>
          <w:rFonts w:hint="eastAsia" w:ascii="宋体" w:hAnsi="宋体" w:eastAsia="宋体" w:cs="宋体"/>
          <w:b w:val="0"/>
          <w:bCs/>
          <w:color w:val="auto"/>
          <w:sz w:val="24"/>
          <w:szCs w:val="24"/>
          <w:highlight w:val="none"/>
        </w:rPr>
        <w:t>.每部电梯提供</w:t>
      </w:r>
      <w:r>
        <w:rPr>
          <w:rFonts w:hint="eastAsia" w:cs="宋体"/>
          <w:b w:val="0"/>
          <w:bCs/>
          <w:color w:val="auto"/>
          <w:sz w:val="24"/>
          <w:szCs w:val="24"/>
          <w:highlight w:val="none"/>
          <w:lang w:val="en-US" w:eastAsia="zh-CN"/>
        </w:rPr>
        <w:t>304</w:t>
      </w:r>
      <w:r>
        <w:rPr>
          <w:rFonts w:hint="eastAsia" w:ascii="宋体" w:hAnsi="宋体" w:eastAsia="宋体" w:cs="宋体"/>
          <w:b w:val="0"/>
          <w:bCs/>
          <w:color w:val="auto"/>
          <w:sz w:val="24"/>
          <w:szCs w:val="24"/>
          <w:highlight w:val="none"/>
        </w:rPr>
        <w:t>发纹不锈钢丝印刷《乘客须知》，尺寸和内容需取得招标人认可</w:t>
      </w:r>
      <w:r>
        <w:rPr>
          <w:rFonts w:hint="eastAsia" w:ascii="宋体" w:hAnsi="宋体" w:eastAsia="宋体" w:cs="宋体"/>
          <w:b w:val="0"/>
          <w:bCs/>
          <w:color w:val="auto"/>
          <w:sz w:val="24"/>
          <w:szCs w:val="24"/>
          <w:highlight w:val="none"/>
          <w:lang w:eastAsia="zh-CN"/>
        </w:rPr>
        <w:t>。</w:t>
      </w:r>
    </w:p>
    <w:p>
      <w:pPr>
        <w:tabs>
          <w:tab w:val="left" w:pos="2040"/>
        </w:tabs>
        <w:spacing w:line="360" w:lineRule="auto"/>
        <w:ind w:firstLine="47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20.</w:t>
      </w:r>
      <w:r>
        <w:rPr>
          <w:rFonts w:hint="eastAsia" w:ascii="宋体" w:hAnsi="宋体" w:eastAsia="宋体" w:cs="宋体"/>
          <w:b w:val="0"/>
          <w:bCs/>
          <w:color w:val="auto"/>
          <w:sz w:val="24"/>
          <w:szCs w:val="24"/>
          <w:highlight w:val="none"/>
        </w:rPr>
        <w:t>电梯功能要求</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tab/>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1）</w:t>
      </w:r>
      <w:r>
        <w:rPr>
          <w:rFonts w:hint="eastAsia" w:ascii="宋体" w:hAnsi="宋体" w:eastAsia="宋体" w:cs="宋体"/>
          <w:color w:val="auto"/>
          <w:sz w:val="24"/>
          <w:szCs w:val="24"/>
          <w:highlight w:val="none"/>
          <w:lang w:eastAsia="zh-CN"/>
        </w:rPr>
        <w:t>自动再</w:t>
      </w:r>
      <w:r>
        <w:rPr>
          <w:rFonts w:hint="eastAsia" w:ascii="宋体" w:hAnsi="宋体" w:eastAsia="宋体" w:cs="宋体"/>
          <w:color w:val="auto"/>
          <w:sz w:val="24"/>
          <w:szCs w:val="24"/>
          <w:highlight w:val="none"/>
        </w:rPr>
        <w:t>平层功能</w:t>
      </w:r>
      <w:r>
        <w:rPr>
          <w:rFonts w:hint="eastAsia" w:ascii="宋体" w:hAnsi="宋体" w:eastAsia="宋体" w:cs="宋体"/>
          <w:b w:val="0"/>
          <w:bCs/>
          <w:color w:val="auto"/>
          <w:sz w:val="24"/>
          <w:szCs w:val="24"/>
          <w:highlight w:val="none"/>
          <w:lang w:eastAsia="zh-CN"/>
        </w:rPr>
        <w:t>；</w:t>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2）司机操作</w:t>
      </w:r>
      <w:r>
        <w:rPr>
          <w:rFonts w:hint="eastAsia" w:ascii="宋体" w:hAnsi="宋体" w:eastAsia="宋体" w:cs="宋体"/>
          <w:b w:val="0"/>
          <w:bCs/>
          <w:color w:val="auto"/>
          <w:sz w:val="24"/>
          <w:szCs w:val="24"/>
          <w:highlight w:val="none"/>
          <w:lang w:eastAsia="zh-CN"/>
        </w:rPr>
        <w:t>；</w:t>
      </w:r>
    </w:p>
    <w:p>
      <w:pPr>
        <w:pStyle w:val="23"/>
        <w:ind w:left="0" w:leftChars="0"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      3）消防员操作；</w:t>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全集选控制运行</w:t>
      </w:r>
      <w:r>
        <w:rPr>
          <w:rFonts w:hint="eastAsia" w:ascii="宋体" w:hAnsi="宋体" w:eastAsia="宋体" w:cs="宋体"/>
          <w:b w:val="0"/>
          <w:bCs/>
          <w:color w:val="auto"/>
          <w:sz w:val="24"/>
          <w:szCs w:val="24"/>
          <w:highlight w:val="none"/>
          <w:lang w:eastAsia="zh-CN"/>
        </w:rPr>
        <w:t>；</w:t>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）泊梯功能</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可选层</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接通位于电梯1层的开关，电梯自动关门停止运行</w:t>
      </w:r>
      <w:r>
        <w:rPr>
          <w:rFonts w:hint="eastAsia" w:ascii="宋体" w:hAnsi="宋体" w:eastAsia="宋体" w:cs="宋体"/>
          <w:b w:val="0"/>
          <w:bCs/>
          <w:color w:val="auto"/>
          <w:sz w:val="24"/>
          <w:szCs w:val="24"/>
          <w:highlight w:val="none"/>
          <w:lang w:eastAsia="zh-CN"/>
        </w:rPr>
        <w:t>。</w:t>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rPr>
        <w:t>）并联/群控功能，预留电梯联动及群控模块，</w:t>
      </w:r>
      <w:r>
        <w:rPr>
          <w:rFonts w:hint="eastAsia" w:ascii="宋体" w:hAnsi="宋体" w:eastAsia="宋体" w:cs="宋体"/>
          <w:b w:val="0"/>
          <w:bCs/>
          <w:color w:val="auto"/>
          <w:sz w:val="24"/>
          <w:szCs w:val="24"/>
          <w:highlight w:val="none"/>
          <w:lang w:eastAsia="zh-CN"/>
        </w:rPr>
        <w:t>交付使用时</w:t>
      </w:r>
      <w:r>
        <w:rPr>
          <w:rFonts w:hint="eastAsia" w:ascii="宋体" w:hAnsi="宋体" w:eastAsia="宋体" w:cs="宋体"/>
          <w:b w:val="0"/>
          <w:bCs/>
          <w:color w:val="auto"/>
          <w:sz w:val="24"/>
          <w:szCs w:val="24"/>
          <w:highlight w:val="none"/>
        </w:rPr>
        <w:t>无偿配合业主使用需求进行电梯联动及群控的调整设置</w:t>
      </w:r>
      <w:r>
        <w:rPr>
          <w:rFonts w:hint="eastAsia" w:ascii="宋体" w:hAnsi="宋体" w:eastAsia="宋体" w:cs="宋体"/>
          <w:b w:val="0"/>
          <w:bCs/>
          <w:color w:val="auto"/>
          <w:sz w:val="24"/>
          <w:szCs w:val="24"/>
          <w:highlight w:val="none"/>
          <w:lang w:eastAsia="zh-CN"/>
        </w:rPr>
        <w:t>；</w:t>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lang w:eastAsia="zh-CN"/>
        </w:rPr>
        <w:t>）</w:t>
      </w:r>
      <w:r>
        <w:rPr>
          <w:rFonts w:hint="eastAsia" w:ascii="宋体" w:hAnsi="宋体" w:eastAsia="宋体" w:cs="宋体"/>
          <w:color w:val="auto"/>
          <w:sz w:val="24"/>
          <w:szCs w:val="24"/>
          <w:highlight w:val="none"/>
        </w:rPr>
        <w:t>超速保护功能</w:t>
      </w:r>
      <w:r>
        <w:rPr>
          <w:rFonts w:hint="eastAsia" w:ascii="宋体" w:hAnsi="宋体" w:eastAsia="宋体" w:cs="宋体"/>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上下行</w:t>
      </w:r>
      <w:r>
        <w:rPr>
          <w:rFonts w:hint="eastAsia" w:ascii="宋体" w:hAnsi="宋体" w:eastAsia="宋体" w:cs="宋体"/>
          <w:b w:val="0"/>
          <w:bCs/>
          <w:color w:val="auto"/>
          <w:sz w:val="24"/>
          <w:szCs w:val="24"/>
          <w:highlight w:val="none"/>
        </w:rPr>
        <w:t>超速电气保护功能</w:t>
      </w:r>
      <w:r>
        <w:rPr>
          <w:rFonts w:hint="eastAsia" w:ascii="宋体" w:hAnsi="宋体" w:eastAsia="宋体" w:cs="宋体"/>
          <w:b w:val="0"/>
          <w:bCs/>
          <w:color w:val="auto"/>
          <w:sz w:val="24"/>
          <w:szCs w:val="24"/>
          <w:highlight w:val="none"/>
          <w:lang w:val="en-US" w:eastAsia="zh-CN"/>
        </w:rPr>
        <w:t>和</w:t>
      </w:r>
      <w:r>
        <w:rPr>
          <w:rFonts w:hint="eastAsia" w:ascii="宋体" w:hAnsi="宋体" w:eastAsia="宋体" w:cs="宋体"/>
          <w:b w:val="0"/>
          <w:bCs/>
          <w:color w:val="auto"/>
          <w:sz w:val="24"/>
          <w:szCs w:val="24"/>
          <w:highlight w:val="none"/>
        </w:rPr>
        <w:t>超速机械保护功能</w:t>
      </w:r>
      <w:r>
        <w:rPr>
          <w:rFonts w:hint="eastAsia" w:ascii="宋体" w:hAnsi="宋体" w:eastAsia="宋体" w:cs="宋体"/>
          <w:b w:val="0"/>
          <w:bCs/>
          <w:color w:val="auto"/>
          <w:sz w:val="24"/>
          <w:szCs w:val="24"/>
          <w:highlight w:val="none"/>
          <w:lang w:eastAsia="zh-CN"/>
        </w:rPr>
        <w:t>；</w:t>
      </w:r>
    </w:p>
    <w:p>
      <w:pPr>
        <w:tabs>
          <w:tab w:val="left" w:pos="2040"/>
        </w:tabs>
        <w:spacing w:line="360" w:lineRule="auto"/>
        <w:ind w:firstLine="705" w:firstLineChars="300"/>
        <w:rPr>
          <w:rFonts w:hint="eastAsia" w:ascii="宋体" w:hAnsi="宋体" w:eastAsia="宋体" w:cs="宋体"/>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8</w:t>
      </w:r>
      <w:r>
        <w:rPr>
          <w:rFonts w:hint="eastAsia" w:ascii="宋体" w:hAnsi="宋体" w:eastAsia="宋体" w:cs="宋体"/>
          <w:b w:val="0"/>
          <w:bCs/>
          <w:color w:val="auto"/>
          <w:sz w:val="24"/>
          <w:szCs w:val="24"/>
          <w:highlight w:val="none"/>
        </w:rPr>
        <w:t>）</w:t>
      </w:r>
      <w:r>
        <w:rPr>
          <w:rFonts w:hint="eastAsia" w:ascii="宋体" w:hAnsi="宋体" w:eastAsia="宋体" w:cs="宋体"/>
          <w:color w:val="auto"/>
          <w:sz w:val="24"/>
          <w:szCs w:val="24"/>
          <w:highlight w:val="none"/>
        </w:rPr>
        <w:t>五方对讲通讯功能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按下轿厢中的紧急呼叫按钮能向机房和管理控制中心（电梯单位进场后业主指定固定地点）呼叫、通话，机房、底坑、轿顶、管理控制中心和轿内之间能五向互通。五方通话在管理控制中心设一个电话分机来集中受理通话请求。五方对讲采用无线方式，所需管线、设备、安装、协调等全部包含在电梯报价内，中标后不再调整。</w:t>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9</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厅外到站钟、厅外到站预报灯（群控电梯）</w:t>
      </w:r>
      <w:r>
        <w:rPr>
          <w:rFonts w:hint="eastAsia" w:ascii="宋体" w:hAnsi="宋体" w:eastAsia="宋体" w:cs="宋体"/>
          <w:b w:val="0"/>
          <w:bCs/>
          <w:color w:val="auto"/>
          <w:sz w:val="24"/>
          <w:szCs w:val="24"/>
          <w:highlight w:val="none"/>
          <w:lang w:eastAsia="zh-CN"/>
        </w:rPr>
        <w:t>；</w:t>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10</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轿厢到站钟或</w:t>
      </w:r>
      <w:r>
        <w:rPr>
          <w:rFonts w:hint="eastAsia" w:ascii="宋体" w:hAnsi="宋体" w:eastAsia="宋体" w:cs="宋体"/>
          <w:b w:val="0"/>
          <w:bCs/>
          <w:color w:val="auto"/>
          <w:sz w:val="24"/>
          <w:szCs w:val="24"/>
          <w:highlight w:val="none"/>
        </w:rPr>
        <w:t>中文语音报站</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可关闭</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背景音乐及目的层语音报层功能</w:t>
      </w:r>
      <w:r>
        <w:rPr>
          <w:rFonts w:hint="eastAsia" w:ascii="宋体" w:hAnsi="宋体" w:eastAsia="宋体" w:cs="宋体"/>
          <w:b w:val="0"/>
          <w:bCs/>
          <w:color w:val="auto"/>
          <w:sz w:val="24"/>
          <w:szCs w:val="24"/>
          <w:highlight w:val="none"/>
          <w:lang w:eastAsia="zh-CN"/>
        </w:rPr>
        <w:t>；</w:t>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11</w:t>
      </w:r>
      <w:r>
        <w:rPr>
          <w:rFonts w:hint="eastAsia" w:ascii="宋体" w:hAnsi="宋体" w:eastAsia="宋体" w:cs="宋体"/>
          <w:b w:val="0"/>
          <w:bCs/>
          <w:color w:val="auto"/>
          <w:sz w:val="24"/>
          <w:szCs w:val="24"/>
          <w:highlight w:val="none"/>
        </w:rPr>
        <w:t>）反恶作剧功能及双击取消错误按钮功能</w:t>
      </w:r>
      <w:r>
        <w:rPr>
          <w:rFonts w:hint="eastAsia" w:ascii="宋体" w:hAnsi="宋体" w:eastAsia="宋体" w:cs="宋体"/>
          <w:b w:val="0"/>
          <w:bCs/>
          <w:color w:val="auto"/>
          <w:sz w:val="24"/>
          <w:szCs w:val="24"/>
          <w:highlight w:val="none"/>
          <w:lang w:eastAsia="zh-CN"/>
        </w:rPr>
        <w:t>；</w:t>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12</w:t>
      </w:r>
      <w:r>
        <w:rPr>
          <w:rFonts w:hint="eastAsia" w:ascii="宋体" w:hAnsi="宋体" w:eastAsia="宋体" w:cs="宋体"/>
          <w:b w:val="0"/>
          <w:bCs/>
          <w:color w:val="auto"/>
          <w:sz w:val="24"/>
          <w:szCs w:val="24"/>
          <w:highlight w:val="none"/>
        </w:rPr>
        <w:t>)电梯运行次数显示</w:t>
      </w:r>
      <w:r>
        <w:rPr>
          <w:rFonts w:hint="eastAsia" w:ascii="宋体" w:hAnsi="宋体" w:eastAsia="宋体" w:cs="宋体"/>
          <w:b w:val="0"/>
          <w:bCs/>
          <w:color w:val="auto"/>
          <w:sz w:val="24"/>
          <w:szCs w:val="24"/>
          <w:highlight w:val="none"/>
          <w:lang w:eastAsia="zh-CN"/>
        </w:rPr>
        <w:t>；</w:t>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13</w:t>
      </w:r>
      <w:r>
        <w:rPr>
          <w:rFonts w:hint="eastAsia" w:ascii="宋体" w:hAnsi="宋体" w:eastAsia="宋体" w:cs="宋体"/>
          <w:b w:val="0"/>
          <w:bCs/>
          <w:color w:val="auto"/>
          <w:sz w:val="24"/>
          <w:szCs w:val="24"/>
          <w:highlight w:val="none"/>
        </w:rPr>
        <w:t>)预开、关门功能</w:t>
      </w:r>
      <w:r>
        <w:rPr>
          <w:rFonts w:hint="eastAsia" w:ascii="宋体" w:hAnsi="宋体" w:eastAsia="宋体" w:cs="宋体"/>
          <w:b w:val="0"/>
          <w:bCs/>
          <w:color w:val="auto"/>
          <w:sz w:val="24"/>
          <w:szCs w:val="24"/>
          <w:highlight w:val="none"/>
          <w:lang w:eastAsia="zh-CN"/>
        </w:rPr>
        <w:t>；</w:t>
      </w:r>
    </w:p>
    <w:p>
      <w:pPr>
        <w:pStyle w:val="23"/>
        <w:ind w:left="0" w:leftChars="0" w:firstLine="705" w:firstLineChars="3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14</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消防联动，</w:t>
      </w:r>
      <w:r>
        <w:rPr>
          <w:rFonts w:hint="eastAsia" w:ascii="宋体" w:hAnsi="宋体" w:eastAsia="宋体" w:cs="宋体"/>
          <w:b w:val="0"/>
          <w:bCs/>
          <w:color w:val="auto"/>
          <w:sz w:val="24"/>
          <w:szCs w:val="24"/>
          <w:highlight w:val="none"/>
        </w:rPr>
        <w:t>具备火灾运行管理功能</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发生火灾时，电梯立即返回</w:t>
      </w:r>
      <w:r>
        <w:rPr>
          <w:rFonts w:hint="eastAsia" w:ascii="宋体" w:hAnsi="宋体" w:eastAsia="宋体" w:cs="宋体"/>
          <w:b w:val="0"/>
          <w:bCs/>
          <w:color w:val="auto"/>
          <w:sz w:val="24"/>
          <w:szCs w:val="24"/>
          <w:highlight w:val="none"/>
          <w:lang w:val="en-US" w:eastAsia="zh-CN"/>
        </w:rPr>
        <w:t>首层</w:t>
      </w:r>
      <w:r>
        <w:rPr>
          <w:rFonts w:hint="eastAsia" w:ascii="宋体" w:hAnsi="宋体" w:eastAsia="宋体" w:cs="宋体"/>
          <w:b w:val="0"/>
          <w:bCs/>
          <w:color w:val="auto"/>
          <w:sz w:val="24"/>
          <w:szCs w:val="24"/>
          <w:highlight w:val="none"/>
        </w:rPr>
        <w:t>：</w:t>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15）开门时间可调，并具有延长开门时间按钮；</w:t>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16）自动救援操作、安全停靠、次层停靠、开门异常自动选层，在电梯运行时,某层电梯门发生门故障时,电梯按原运行方向自动运行至邻层再开门,且电梯系统保护正常运行状态,避免由某层的发生开门故障而影响正常的电梯运行；</w:t>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17）故障自动存储功能，当电梯有故障发生时,电梯将检测出的故障作出及时的分项登记和分级处理,并存储起来； </w:t>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18）停电应急自动平层功能，配置电梯断电时自动就近平层开门装置；  </w:t>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19）电梯刷卡控制系统，电梯轿厢内安装电梯刷卡控制系统（WT-1电梯手术层1-9轴线厅门和</w:t>
      </w:r>
      <w:r>
        <w:rPr>
          <w:rFonts w:hint="eastAsia" w:ascii="宋体" w:hAnsi="宋体" w:eastAsia="宋体" w:cs="宋体"/>
          <w:color w:val="auto"/>
          <w:sz w:val="24"/>
          <w:szCs w:val="24"/>
          <w:highlight w:val="none"/>
          <w:lang w:val="en-US" w:eastAsia="zh-CN"/>
        </w:rPr>
        <w:t>消毒供应中心货梯HT-1所有</w:t>
      </w:r>
      <w:r>
        <w:rPr>
          <w:rFonts w:hint="eastAsia" w:ascii="宋体" w:hAnsi="宋体" w:eastAsia="宋体" w:cs="宋体"/>
          <w:b w:val="0"/>
          <w:bCs/>
          <w:color w:val="auto"/>
          <w:sz w:val="24"/>
          <w:szCs w:val="24"/>
          <w:highlight w:val="none"/>
          <w:lang w:val="en-US" w:eastAsia="zh-CN"/>
        </w:rPr>
        <w:t>厅门增加刷卡控制），实现指定权限控制，刷卡控制系统具备联网管理功能，投标人提供调试控制母卡（其中医护电梯可授权手机NFC控制），并在备品备件表中对控制卡进行报价,业主视后期使用需求进行采购；</w:t>
      </w:r>
    </w:p>
    <w:p>
      <w:pPr>
        <w:numPr>
          <w:ilvl w:val="0"/>
          <w:numId w:val="0"/>
        </w:numPr>
        <w:tabs>
          <w:tab w:val="left" w:pos="2040"/>
        </w:tabs>
        <w:spacing w:line="360" w:lineRule="auto"/>
        <w:ind w:left="420" w:leftChars="0" w:firstLine="235" w:firstLineChars="100"/>
        <w:rPr>
          <w:rFonts w:hint="eastAsia" w:ascii="宋体" w:hAnsi="宋体" w:eastAsia="宋体" w:cs="宋体"/>
          <w:b w:val="0"/>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b w:val="0"/>
          <w:bCs/>
          <w:color w:val="auto"/>
          <w:sz w:val="24"/>
          <w:szCs w:val="24"/>
          <w:highlight w:val="none"/>
          <w:lang w:val="en-US" w:eastAsia="zh-CN"/>
        </w:rPr>
        <w:t>WT-1电梯手术层指定权限停层开门，手术层1-9轴线轿门及厅门没有权限不开门；</w:t>
      </w:r>
    </w:p>
    <w:p>
      <w:pPr>
        <w:numPr>
          <w:ilvl w:val="0"/>
          <w:numId w:val="0"/>
        </w:numPr>
        <w:tabs>
          <w:tab w:val="left" w:pos="2040"/>
        </w:tabs>
        <w:spacing w:line="360" w:lineRule="auto"/>
        <w:ind w:left="420" w:leftChars="0" w:firstLine="235" w:firstLineChars="100"/>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21）</w:t>
      </w:r>
      <w:r>
        <w:rPr>
          <w:rFonts w:hint="eastAsia" w:ascii="宋体" w:hAnsi="宋体" w:eastAsia="宋体" w:cs="宋体"/>
          <w:color w:val="auto"/>
          <w:sz w:val="24"/>
          <w:szCs w:val="24"/>
          <w:highlight w:val="none"/>
          <w:lang w:val="en-US" w:eastAsia="zh-CN"/>
        </w:rPr>
        <w:t>群控电梯上、下高峰运行派梯；</w:t>
      </w:r>
    </w:p>
    <w:p>
      <w:pPr>
        <w:numPr>
          <w:ilvl w:val="0"/>
          <w:numId w:val="0"/>
        </w:numPr>
        <w:tabs>
          <w:tab w:val="left" w:pos="2040"/>
        </w:tabs>
        <w:spacing w:line="360" w:lineRule="auto"/>
        <w:ind w:left="420" w:leftChars="0" w:firstLine="235" w:firstLineChars="100"/>
        <w:rPr>
          <w:rFonts w:hint="eastAsia" w:ascii="宋体" w:hAnsi="宋体" w:eastAsia="宋体" w:cs="宋体"/>
          <w:b w:val="0"/>
          <w:bCs/>
          <w:color w:val="auto"/>
          <w:sz w:val="24"/>
          <w:szCs w:val="24"/>
          <w:highlight w:val="none"/>
        </w:rPr>
      </w:pPr>
      <w:r>
        <w:rPr>
          <w:rFonts w:hint="eastAsia" w:ascii="宋体" w:hAnsi="宋体" w:eastAsia="宋体" w:cs="宋体"/>
          <w:color w:val="auto"/>
          <w:sz w:val="24"/>
          <w:szCs w:val="24"/>
          <w:highlight w:val="none"/>
          <w:lang w:val="en-US" w:eastAsia="zh-CN"/>
        </w:rPr>
        <w:t>22）预留楼宇智能化接口，通过接口对电梯实行监控，了解运行状态、能源消耗等；</w:t>
      </w:r>
    </w:p>
    <w:p>
      <w:pPr>
        <w:numPr>
          <w:ilvl w:val="0"/>
          <w:numId w:val="0"/>
        </w:numPr>
        <w:tabs>
          <w:tab w:val="left" w:pos="2040"/>
        </w:tabs>
        <w:spacing w:line="360" w:lineRule="auto"/>
        <w:ind w:left="420" w:leftChars="0" w:firstLine="235" w:firstLineChars="100"/>
        <w:rPr>
          <w:rFonts w:hint="eastAsia" w:ascii="宋体" w:hAnsi="宋体" w:eastAsia="宋体" w:cs="宋体"/>
          <w:color w:val="auto"/>
          <w:spacing w:val="6"/>
          <w:sz w:val="24"/>
          <w:szCs w:val="24"/>
          <w:highlight w:val="none"/>
        </w:rPr>
      </w:pP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pacing w:val="6"/>
          <w:sz w:val="24"/>
          <w:szCs w:val="24"/>
          <w:highlight w:val="none"/>
        </w:rPr>
        <w:t>除以上功能外，投标品牌的产品样本中提及的基本功能必须配置。</w:t>
      </w:r>
    </w:p>
    <w:p>
      <w:pPr>
        <w:numPr>
          <w:ilvl w:val="0"/>
          <w:numId w:val="0"/>
        </w:numPr>
        <w:tabs>
          <w:tab w:val="left" w:pos="2040"/>
        </w:tabs>
        <w:spacing w:line="360" w:lineRule="auto"/>
        <w:ind w:left="420" w:left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 xml:space="preserve">  21.</w:t>
      </w:r>
      <w:r>
        <w:rPr>
          <w:rFonts w:hint="eastAsia" w:ascii="宋体" w:hAnsi="宋体" w:eastAsia="宋体" w:cs="宋体"/>
          <w:b/>
          <w:bCs/>
          <w:color w:val="auto"/>
          <w:sz w:val="24"/>
          <w:szCs w:val="24"/>
          <w:highlight w:val="none"/>
        </w:rPr>
        <w:t>推荐电梯品牌：奥的斯OTIS、三菱Mitsubishi、日立HITACHI</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蒂</w:t>
      </w:r>
      <w:r>
        <w:rPr>
          <w:rFonts w:hint="eastAsia" w:ascii="宋体" w:hAnsi="宋体" w:eastAsia="宋体" w:cs="宋体"/>
          <w:b/>
          <w:bCs/>
          <w:color w:val="auto"/>
          <w:sz w:val="24"/>
          <w:szCs w:val="24"/>
          <w:highlight w:val="none"/>
          <w:lang w:val="en-US" w:eastAsia="zh-CN"/>
        </w:rPr>
        <w:t>升</w:t>
      </w:r>
      <w:r>
        <w:rPr>
          <w:rFonts w:hint="eastAsia" w:ascii="宋体" w:hAnsi="宋体" w:eastAsia="宋体" w:cs="宋体"/>
          <w:b/>
          <w:bCs/>
          <w:color w:val="auto"/>
          <w:sz w:val="24"/>
          <w:szCs w:val="24"/>
          <w:highlight w:val="none"/>
        </w:rPr>
        <w:t>TKE</w:t>
      </w:r>
      <w:r>
        <w:rPr>
          <w:rFonts w:hint="eastAsia" w:ascii="宋体" w:hAnsi="宋体" w:eastAsia="宋体" w:cs="宋体"/>
          <w:b/>
          <w:bCs/>
          <w:color w:val="auto"/>
          <w:sz w:val="24"/>
          <w:szCs w:val="24"/>
          <w:highlight w:val="none"/>
          <w:lang w:eastAsia="zh-CN"/>
        </w:rPr>
        <w:t>（蒂森克虏伯）</w:t>
      </w:r>
      <w:r>
        <w:rPr>
          <w:rFonts w:hint="eastAsia" w:ascii="宋体" w:hAnsi="宋体" w:eastAsia="宋体" w:cs="宋体"/>
          <w:b/>
          <w:bCs/>
          <w:color w:val="auto"/>
          <w:sz w:val="24"/>
          <w:szCs w:val="24"/>
          <w:highlight w:val="none"/>
        </w:rPr>
        <w:t>、通力 KONE、迅达Schindler等一线品牌。</w:t>
      </w:r>
    </w:p>
    <w:p>
      <w:pPr>
        <w:pStyle w:val="2"/>
        <w:ind w:firstLine="705" w:firstLineChars="300"/>
        <w:rPr>
          <w:rFonts w:hint="default" w:eastAsia="宋体"/>
          <w:b w:val="0"/>
          <w:bCs w:val="0"/>
          <w:highlight w:val="none"/>
          <w:lang w:val="en-US" w:eastAsia="zh-CN"/>
        </w:rPr>
      </w:pPr>
      <w:r>
        <w:rPr>
          <w:rFonts w:hint="eastAsia" w:cs="宋体"/>
          <w:b/>
          <w:bCs/>
          <w:color w:val="auto"/>
          <w:sz w:val="24"/>
          <w:szCs w:val="24"/>
          <w:highlight w:val="none"/>
          <w:lang w:val="en-US" w:eastAsia="zh-CN"/>
        </w:rPr>
        <w:t>22、</w:t>
      </w:r>
      <w:r>
        <w:rPr>
          <w:rFonts w:hint="eastAsia" w:ascii="宋体" w:hAnsi="宋体" w:eastAsia="宋体" w:cs="宋体"/>
          <w:b w:val="0"/>
          <w:bCs w:val="0"/>
          <w:color w:val="auto"/>
          <w:sz w:val="24"/>
          <w:szCs w:val="24"/>
          <w:highlight w:val="none"/>
          <w:lang w:val="en-US" w:eastAsia="zh-CN"/>
        </w:rPr>
        <w:t>T-</w:t>
      </w:r>
      <w:r>
        <w:rPr>
          <w:rFonts w:hint="eastAsia"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货梯</w:t>
      </w:r>
      <w:r>
        <w:rPr>
          <w:rFonts w:hint="eastAsia" w:cs="宋体"/>
          <w:b w:val="0"/>
          <w:bCs w:val="0"/>
          <w:color w:val="auto"/>
          <w:sz w:val="24"/>
          <w:szCs w:val="24"/>
          <w:highlight w:val="none"/>
          <w:lang w:val="en-US" w:eastAsia="zh-CN"/>
        </w:rPr>
        <w:t>2为药品运输电梯，相关功能应满足药房到各病区药品传输及管理相关需要，</w:t>
      </w:r>
      <w:r>
        <w:rPr>
          <w:rFonts w:hint="eastAsia" w:cs="宋体"/>
          <w:b w:val="0"/>
          <w:bCs w:val="0"/>
          <w:color w:val="auto"/>
          <w:sz w:val="24"/>
          <w:szCs w:val="24"/>
          <w:highlight w:val="none"/>
          <w:lang w:eastAsia="zh-CN"/>
        </w:rPr>
        <w:t>按国家及行业相关规定和医院</w:t>
      </w:r>
      <w:r>
        <w:rPr>
          <w:rFonts w:hint="eastAsia" w:cs="宋体"/>
          <w:b w:val="0"/>
          <w:bCs w:val="0"/>
          <w:color w:val="auto"/>
          <w:sz w:val="24"/>
          <w:szCs w:val="24"/>
          <w:highlight w:val="none"/>
          <w:lang w:val="en-US" w:eastAsia="zh-CN"/>
        </w:rPr>
        <w:t>药品配送特点进行相关</w:t>
      </w:r>
      <w:r>
        <w:rPr>
          <w:rFonts w:hint="eastAsia" w:cs="宋体"/>
          <w:b w:val="0"/>
          <w:bCs w:val="0"/>
          <w:color w:val="auto"/>
          <w:sz w:val="24"/>
          <w:szCs w:val="24"/>
          <w:highlight w:val="none"/>
          <w:lang w:eastAsia="zh-CN"/>
        </w:rPr>
        <w:t>配置</w:t>
      </w:r>
    </w:p>
    <w:p>
      <w:pPr>
        <w:spacing w:line="360" w:lineRule="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（四）安装及售后服务</w:t>
      </w:r>
    </w:p>
    <w:p>
      <w:pPr>
        <w:tabs>
          <w:tab w:val="left" w:pos="2040"/>
        </w:tabs>
        <w:spacing w:line="360" w:lineRule="auto"/>
        <w:ind w:firstLine="470" w:firstLineChars="200"/>
        <w:rPr>
          <w:rFonts w:hint="eastAsia" w:ascii="宋体" w:hAnsi="宋体" w:eastAsia="宋体" w:cs="宋体"/>
          <w:b/>
          <w:bCs w:val="0"/>
          <w:color w:val="auto"/>
          <w:sz w:val="24"/>
          <w:szCs w:val="24"/>
          <w:highlight w:val="none"/>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rPr>
        <w:t>供货及安装、调试要求</w:t>
      </w:r>
    </w:p>
    <w:p>
      <w:pPr>
        <w:tabs>
          <w:tab w:val="left" w:pos="2040"/>
        </w:tabs>
        <w:spacing w:line="360" w:lineRule="auto"/>
        <w:ind w:firstLine="705" w:firstLineChars="3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1、供货及安装周期：120 日历天；</w:t>
      </w:r>
    </w:p>
    <w:p>
      <w:pPr>
        <w:tabs>
          <w:tab w:val="left" w:pos="2040"/>
        </w:tabs>
        <w:spacing w:line="360" w:lineRule="auto"/>
        <w:ind w:firstLine="705" w:firstLineChars="3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2、本招标设备的调试工作、项目验收</w:t>
      </w:r>
      <w:r>
        <w:rPr>
          <w:rFonts w:hint="eastAsia" w:ascii="宋体" w:hAnsi="宋体" w:eastAsia="宋体" w:cs="宋体"/>
          <w:b w:val="0"/>
          <w:bCs/>
          <w:color w:val="auto"/>
          <w:sz w:val="24"/>
          <w:szCs w:val="24"/>
          <w:highlight w:val="none"/>
          <w:lang w:val="en-US" w:eastAsia="zh-CN"/>
        </w:rPr>
        <w:t>工作及相关费用</w:t>
      </w:r>
      <w:r>
        <w:rPr>
          <w:rFonts w:hint="eastAsia" w:ascii="宋体" w:hAnsi="宋体" w:eastAsia="宋体" w:cs="宋体"/>
          <w:b w:val="0"/>
          <w:bCs/>
          <w:color w:val="auto"/>
          <w:sz w:val="24"/>
          <w:szCs w:val="24"/>
          <w:highlight w:val="none"/>
        </w:rPr>
        <w:t>均全部由投标人负责承担， 安装必须由生产厂家</w:t>
      </w:r>
      <w:r>
        <w:rPr>
          <w:rFonts w:hint="eastAsia" w:ascii="宋体" w:hAnsi="宋体" w:eastAsia="宋体" w:cs="宋体"/>
          <w:b w:val="0"/>
          <w:bCs/>
          <w:color w:val="auto"/>
          <w:sz w:val="24"/>
          <w:szCs w:val="24"/>
          <w:highlight w:val="none"/>
          <w:lang w:val="en-US" w:eastAsia="zh-CN"/>
        </w:rPr>
        <w:t>或</w:t>
      </w:r>
      <w:r>
        <w:rPr>
          <w:rFonts w:hint="eastAsia" w:ascii="宋体" w:hAnsi="宋体" w:eastAsia="宋体" w:cs="宋体"/>
          <w:b w:val="0"/>
          <w:bCs/>
          <w:color w:val="auto"/>
          <w:sz w:val="24"/>
          <w:szCs w:val="24"/>
          <w:highlight w:val="none"/>
        </w:rPr>
        <w:t>生产厂家授权的单位负责，</w:t>
      </w:r>
      <w:r>
        <w:rPr>
          <w:rFonts w:hint="eastAsia" w:ascii="宋体" w:hAnsi="宋体" w:eastAsia="宋体" w:cs="宋体"/>
          <w:b w:val="0"/>
          <w:bCs/>
          <w:color w:val="auto"/>
          <w:sz w:val="24"/>
          <w:szCs w:val="24"/>
          <w:highlight w:val="none"/>
          <w:lang w:eastAsia="zh-CN"/>
        </w:rPr>
        <w:t>不得转包，投标时提供安装单位资质和拟投入安装和管理人员配备情况；</w:t>
      </w:r>
      <w:r>
        <w:rPr>
          <w:rFonts w:hint="eastAsia" w:ascii="宋体" w:hAnsi="宋体" w:eastAsia="宋体" w:cs="宋体"/>
          <w:b w:val="0"/>
          <w:bCs/>
          <w:color w:val="auto"/>
          <w:sz w:val="24"/>
          <w:szCs w:val="24"/>
          <w:highlight w:val="none"/>
        </w:rPr>
        <w:t>售后服务必须是厂家</w:t>
      </w:r>
      <w:r>
        <w:rPr>
          <w:rFonts w:hint="eastAsia" w:ascii="宋体" w:hAnsi="宋体" w:eastAsia="宋体" w:cs="宋体"/>
          <w:b w:val="0"/>
          <w:bCs/>
          <w:color w:val="auto"/>
          <w:sz w:val="24"/>
          <w:szCs w:val="24"/>
          <w:highlight w:val="none"/>
          <w:lang w:val="en-US" w:eastAsia="zh-CN"/>
        </w:rPr>
        <w:t>原厂</w:t>
      </w:r>
      <w:r>
        <w:rPr>
          <w:rFonts w:hint="eastAsia" w:ascii="宋体" w:hAnsi="宋体" w:eastAsia="宋体" w:cs="宋体"/>
          <w:b w:val="0"/>
          <w:bCs/>
          <w:color w:val="auto"/>
          <w:sz w:val="24"/>
          <w:szCs w:val="24"/>
          <w:highlight w:val="none"/>
        </w:rPr>
        <w:t>维保</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厂家必须在铜陵市枞阳县设立维保服务站点</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。需由生产厂家负责组织电梯专项验收，并承担由此产生的相关费用。</w:t>
      </w:r>
    </w:p>
    <w:p>
      <w:pPr>
        <w:tabs>
          <w:tab w:val="left" w:pos="2040"/>
        </w:tabs>
        <w:spacing w:line="360" w:lineRule="auto"/>
        <w:ind w:firstLine="705" w:firstLineChars="3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3、负责对</w:t>
      </w:r>
      <w:r>
        <w:rPr>
          <w:rFonts w:hint="eastAsia" w:ascii="宋体" w:hAnsi="宋体" w:eastAsia="宋体" w:cs="宋体"/>
          <w:b w:val="0"/>
          <w:bCs/>
          <w:color w:val="auto"/>
          <w:sz w:val="24"/>
          <w:szCs w:val="24"/>
          <w:highlight w:val="none"/>
          <w:lang w:val="en-US" w:eastAsia="zh-CN"/>
        </w:rPr>
        <w:t>招标方</w:t>
      </w:r>
      <w:r>
        <w:rPr>
          <w:rFonts w:hint="eastAsia" w:ascii="宋体" w:hAnsi="宋体" w:eastAsia="宋体" w:cs="宋体"/>
          <w:b w:val="0"/>
          <w:bCs/>
          <w:color w:val="auto"/>
          <w:sz w:val="24"/>
          <w:szCs w:val="24"/>
          <w:highlight w:val="none"/>
        </w:rPr>
        <w:t>的设备维修管理人员免费进行国内及现场培训，并在投标文件中提供详细的授课安排，授课师资配备、时间、地点及学员数量的说明。</w:t>
      </w:r>
    </w:p>
    <w:p>
      <w:pPr>
        <w:tabs>
          <w:tab w:val="left" w:pos="2040"/>
        </w:tabs>
        <w:spacing w:line="360" w:lineRule="auto"/>
        <w:ind w:firstLine="705" w:firstLineChars="3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4、安装、调试、质量监督及其他服务人员条件：投标文件中应提供有关安装、调试、质量监督</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质保期维保</w:t>
      </w:r>
      <w:r>
        <w:rPr>
          <w:rFonts w:hint="eastAsia" w:ascii="宋体" w:hAnsi="宋体" w:eastAsia="宋体" w:cs="宋体"/>
          <w:b w:val="0"/>
          <w:bCs/>
          <w:color w:val="auto"/>
          <w:sz w:val="24"/>
          <w:szCs w:val="24"/>
          <w:highlight w:val="none"/>
        </w:rPr>
        <w:t>及其他服务所需人员（包括在本项目中负责的总部主管人员和现场主要人员）的配备情况，包括其姓名、年龄、学历、资质、履历、</w:t>
      </w:r>
      <w:r>
        <w:rPr>
          <w:rFonts w:hint="eastAsia" w:ascii="宋体" w:hAnsi="宋体" w:eastAsia="宋体" w:cs="宋体"/>
          <w:b w:val="0"/>
          <w:bCs/>
          <w:color w:val="auto"/>
          <w:sz w:val="24"/>
          <w:szCs w:val="24"/>
          <w:highlight w:val="none"/>
          <w:lang w:eastAsia="zh-CN"/>
        </w:rPr>
        <w:t>社保、</w:t>
      </w:r>
      <w:r>
        <w:rPr>
          <w:rFonts w:hint="eastAsia" w:ascii="宋体" w:hAnsi="宋体" w:eastAsia="宋体" w:cs="宋体"/>
          <w:b w:val="0"/>
          <w:bCs/>
          <w:color w:val="auto"/>
          <w:sz w:val="24"/>
          <w:szCs w:val="24"/>
          <w:highlight w:val="none"/>
        </w:rPr>
        <w:t>类似项目或工程经验等。</w:t>
      </w:r>
    </w:p>
    <w:p>
      <w:pPr>
        <w:tabs>
          <w:tab w:val="left" w:pos="2040"/>
        </w:tabs>
        <w:spacing w:line="360" w:lineRule="auto"/>
        <w:ind w:firstLine="705" w:firstLineChars="3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5、负责组织电梯专项验收，并承担由此产生的相关费用。验收要求：</w:t>
      </w:r>
    </w:p>
    <w:p>
      <w:pPr>
        <w:tabs>
          <w:tab w:val="left" w:pos="2040"/>
        </w:tabs>
        <w:spacing w:line="360" w:lineRule="auto"/>
        <w:ind w:firstLine="705" w:firstLineChars="3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第 1 次验收：设备运抵</w:t>
      </w:r>
      <w:r>
        <w:rPr>
          <w:rFonts w:hint="eastAsia" w:ascii="宋体" w:hAnsi="宋体" w:eastAsia="宋体" w:cs="宋体"/>
          <w:b w:val="0"/>
          <w:bCs/>
          <w:color w:val="auto"/>
          <w:sz w:val="24"/>
          <w:szCs w:val="24"/>
          <w:highlight w:val="none"/>
          <w:lang w:val="en-US" w:eastAsia="zh-CN"/>
        </w:rPr>
        <w:t>招标方</w:t>
      </w:r>
      <w:r>
        <w:rPr>
          <w:rFonts w:hint="eastAsia" w:ascii="宋体" w:hAnsi="宋体" w:eastAsia="宋体" w:cs="宋体"/>
          <w:b w:val="0"/>
          <w:bCs/>
          <w:color w:val="auto"/>
          <w:sz w:val="24"/>
          <w:szCs w:val="24"/>
          <w:highlight w:val="none"/>
        </w:rPr>
        <w:t>现场后，买、卖双方及工程监理共同派员验收，如发生数量缺漏、外观缺损，由卖方负责免费补齐、调换</w:t>
      </w:r>
      <w:r>
        <w:rPr>
          <w:rFonts w:hint="eastAsia" w:ascii="宋体" w:hAnsi="宋体" w:eastAsia="宋体" w:cs="宋体"/>
          <w:b w:val="0"/>
          <w:bCs/>
          <w:color w:val="auto"/>
          <w:sz w:val="24"/>
          <w:szCs w:val="24"/>
          <w:highlight w:val="none"/>
          <w:lang w:eastAsia="zh-CN"/>
        </w:rPr>
        <w:t>，到货后设备由卖方负责保管</w:t>
      </w:r>
      <w:r>
        <w:rPr>
          <w:rFonts w:hint="eastAsia" w:ascii="宋体" w:hAnsi="宋体" w:eastAsia="宋体" w:cs="宋体"/>
          <w:b w:val="0"/>
          <w:bCs/>
          <w:color w:val="auto"/>
          <w:sz w:val="24"/>
          <w:szCs w:val="24"/>
          <w:highlight w:val="none"/>
        </w:rPr>
        <w:t>。</w:t>
      </w:r>
    </w:p>
    <w:p>
      <w:pPr>
        <w:tabs>
          <w:tab w:val="left" w:pos="2040"/>
        </w:tabs>
        <w:spacing w:line="360" w:lineRule="auto"/>
        <w:ind w:firstLine="705" w:firstLineChars="3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第 2 次验收：设备安装、调试结束，联动试车后，达到验收标准</w:t>
      </w:r>
      <w:r>
        <w:rPr>
          <w:rFonts w:hint="eastAsia" w:ascii="宋体" w:hAnsi="宋体" w:eastAsia="宋体" w:cs="宋体"/>
          <w:b w:val="0"/>
          <w:bCs/>
          <w:color w:val="auto"/>
          <w:sz w:val="24"/>
          <w:szCs w:val="24"/>
          <w:highlight w:val="none"/>
          <w:lang w:eastAsia="zh-CN"/>
        </w:rPr>
        <w:t>（提供</w:t>
      </w:r>
      <w:r>
        <w:rPr>
          <w:rFonts w:hint="eastAsia" w:ascii="宋体" w:hAnsi="宋体" w:eastAsia="宋体" w:cs="宋体"/>
          <w:b w:val="0"/>
          <w:bCs/>
          <w:color w:val="auto"/>
          <w:sz w:val="24"/>
          <w:szCs w:val="24"/>
          <w:highlight w:val="none"/>
          <w:lang w:val="en-US" w:eastAsia="zh-CN"/>
        </w:rPr>
        <w:t>平层精度、噪音、垂直和水平震动加速度等满足技术参数要求的检测报告</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，买、卖双方及</w:t>
      </w:r>
      <w:r>
        <w:rPr>
          <w:rFonts w:hint="eastAsia" w:ascii="宋体" w:hAnsi="宋体" w:eastAsia="宋体" w:cs="宋体"/>
          <w:b w:val="0"/>
          <w:bCs/>
          <w:color w:val="auto"/>
          <w:sz w:val="24"/>
          <w:szCs w:val="24"/>
          <w:highlight w:val="none"/>
          <w:lang w:val="en-US" w:eastAsia="zh-CN"/>
        </w:rPr>
        <w:t>招标方</w:t>
      </w:r>
      <w:r>
        <w:rPr>
          <w:rFonts w:hint="eastAsia" w:ascii="宋体" w:hAnsi="宋体" w:eastAsia="宋体" w:cs="宋体"/>
          <w:b w:val="0"/>
          <w:bCs/>
          <w:color w:val="auto"/>
          <w:sz w:val="24"/>
          <w:szCs w:val="24"/>
          <w:highlight w:val="none"/>
        </w:rPr>
        <w:t>工程监理共同验收合格。并经技术监督部门验收合格，发放使用许可证。</w:t>
      </w:r>
    </w:p>
    <w:p>
      <w:pPr>
        <w:tabs>
          <w:tab w:val="left" w:pos="2040"/>
        </w:tabs>
        <w:spacing w:line="360" w:lineRule="auto"/>
        <w:ind w:firstLine="705" w:firstLineChars="300"/>
        <w:rPr>
          <w:rFonts w:hint="eastAsia" w:ascii="宋体" w:hAnsi="宋体" w:eastAsia="宋体" w:cs="宋体"/>
          <w:b/>
          <w:color w:val="auto"/>
          <w:sz w:val="24"/>
          <w:szCs w:val="24"/>
          <w:highlight w:val="none"/>
          <w:lang w:eastAsia="zh-CN"/>
        </w:rPr>
      </w:pPr>
      <w:r>
        <w:rPr>
          <w:rFonts w:hint="eastAsia" w:ascii="宋体" w:hAnsi="宋体" w:eastAsia="宋体" w:cs="宋体"/>
          <w:b w:val="0"/>
          <w:bCs/>
          <w:color w:val="auto"/>
          <w:sz w:val="24"/>
          <w:szCs w:val="24"/>
          <w:highlight w:val="none"/>
        </w:rPr>
        <w:t>6、中标人安装过程中主动与现场相关单位配合，不另增加费用。</w:t>
      </w:r>
    </w:p>
    <w:p>
      <w:pPr>
        <w:tabs>
          <w:tab w:val="left" w:pos="2040"/>
        </w:tabs>
        <w:spacing w:line="360" w:lineRule="auto"/>
        <w:ind w:firstLine="470" w:firstLineChars="20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lang w:eastAsia="zh-CN"/>
        </w:rPr>
        <w:t>）保修及售后服务</w:t>
      </w:r>
    </w:p>
    <w:p>
      <w:pPr>
        <w:tabs>
          <w:tab w:val="left" w:pos="2040"/>
        </w:tabs>
        <w:spacing w:line="360" w:lineRule="auto"/>
        <w:ind w:firstLine="705" w:firstLineChars="3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1、从安装竣工、当地政府有关部门验收发证移交之日算起，</w:t>
      </w:r>
      <w:r>
        <w:rPr>
          <w:rFonts w:hint="eastAsia" w:ascii="宋体" w:hAnsi="宋体" w:eastAsia="宋体" w:cs="宋体"/>
          <w:b/>
          <w:bCs w:val="0"/>
          <w:color w:val="auto"/>
          <w:sz w:val="24"/>
          <w:szCs w:val="24"/>
          <w:highlight w:val="none"/>
        </w:rPr>
        <w:t>设备的</w:t>
      </w:r>
      <w:r>
        <w:rPr>
          <w:rFonts w:hint="eastAsia" w:ascii="宋体" w:hAnsi="宋体" w:eastAsia="宋体" w:cs="宋体"/>
          <w:b/>
          <w:bCs w:val="0"/>
          <w:color w:val="auto"/>
          <w:sz w:val="24"/>
          <w:szCs w:val="24"/>
          <w:highlight w:val="none"/>
          <w:lang w:eastAsia="zh-CN"/>
        </w:rPr>
        <w:t>免费</w:t>
      </w:r>
      <w:r>
        <w:rPr>
          <w:rFonts w:hint="eastAsia" w:ascii="宋体" w:hAnsi="宋体" w:eastAsia="宋体" w:cs="宋体"/>
          <w:b/>
          <w:bCs w:val="0"/>
          <w:color w:val="auto"/>
          <w:sz w:val="24"/>
          <w:szCs w:val="24"/>
          <w:highlight w:val="none"/>
        </w:rPr>
        <w:t>保修期</w:t>
      </w:r>
      <w:r>
        <w:rPr>
          <w:rFonts w:hint="eastAsia" w:ascii="宋体" w:hAnsi="宋体" w:eastAsia="宋体" w:cs="宋体"/>
          <w:b/>
          <w:bCs w:val="0"/>
          <w:color w:val="auto"/>
          <w:sz w:val="24"/>
          <w:szCs w:val="24"/>
          <w:highlight w:val="none"/>
          <w:lang w:eastAsia="zh-CN"/>
        </w:rPr>
        <w:t>应不少于</w:t>
      </w:r>
      <w:r>
        <w:rPr>
          <w:rFonts w:hint="eastAsia" w:ascii="宋体" w:hAnsi="宋体" w:eastAsia="宋体" w:cs="宋体"/>
          <w:b/>
          <w:bCs w:val="0"/>
          <w:color w:val="auto"/>
          <w:sz w:val="24"/>
          <w:szCs w:val="24"/>
          <w:highlight w:val="none"/>
          <w:lang w:val="en-US" w:eastAsia="zh-CN"/>
        </w:rPr>
        <w:t>2</w:t>
      </w:r>
      <w:r>
        <w:rPr>
          <w:rFonts w:hint="eastAsia" w:ascii="宋体" w:hAnsi="宋体" w:eastAsia="宋体" w:cs="宋体"/>
          <w:b/>
          <w:bCs w:val="0"/>
          <w:color w:val="auto"/>
          <w:sz w:val="24"/>
          <w:szCs w:val="24"/>
          <w:highlight w:val="none"/>
        </w:rPr>
        <w:t>年</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投标人可承诺延长免保期，</w:t>
      </w:r>
      <w:r>
        <w:rPr>
          <w:rFonts w:hint="eastAsia" w:ascii="宋体" w:hAnsi="宋体" w:eastAsia="宋体" w:cs="宋体"/>
          <w:b w:val="0"/>
          <w:bCs/>
          <w:color w:val="auto"/>
          <w:sz w:val="24"/>
          <w:szCs w:val="24"/>
          <w:highlight w:val="none"/>
        </w:rPr>
        <w:t>免保期内</w:t>
      </w:r>
      <w:r>
        <w:rPr>
          <w:rFonts w:hint="eastAsia" w:ascii="宋体" w:hAnsi="宋体" w:eastAsia="宋体" w:cs="宋体"/>
          <w:b w:val="0"/>
          <w:bCs/>
          <w:color w:val="auto"/>
          <w:sz w:val="24"/>
          <w:szCs w:val="24"/>
          <w:highlight w:val="none"/>
          <w:lang w:val="en-US" w:eastAsia="zh-CN"/>
        </w:rPr>
        <w:t>电梯检查、检测、验收</w:t>
      </w:r>
      <w:r>
        <w:rPr>
          <w:rFonts w:hint="eastAsia" w:ascii="宋体" w:hAnsi="宋体" w:eastAsia="宋体" w:cs="宋体"/>
          <w:b w:val="0"/>
          <w:bCs/>
          <w:color w:val="auto"/>
          <w:sz w:val="24"/>
          <w:szCs w:val="24"/>
          <w:highlight w:val="none"/>
        </w:rPr>
        <w:t>费用</w:t>
      </w:r>
      <w:r>
        <w:rPr>
          <w:rFonts w:hint="eastAsia" w:ascii="宋体" w:hAnsi="宋体" w:eastAsia="宋体" w:cs="宋体"/>
          <w:b w:val="0"/>
          <w:bCs/>
          <w:color w:val="auto"/>
          <w:sz w:val="24"/>
          <w:szCs w:val="24"/>
          <w:highlight w:val="none"/>
          <w:lang w:eastAsia="zh-CN"/>
        </w:rPr>
        <w:t>由中标人承担，</w:t>
      </w:r>
      <w:r>
        <w:rPr>
          <w:rFonts w:hint="eastAsia" w:ascii="宋体" w:hAnsi="宋体" w:eastAsia="宋体" w:cs="宋体"/>
          <w:b w:val="0"/>
          <w:bCs/>
          <w:color w:val="auto"/>
          <w:sz w:val="24"/>
          <w:szCs w:val="24"/>
          <w:highlight w:val="none"/>
        </w:rPr>
        <w:t>在此期间，投标方应该对设备</w:t>
      </w:r>
      <w:r>
        <w:rPr>
          <w:rFonts w:hint="eastAsia" w:ascii="宋体" w:hAnsi="宋体" w:eastAsia="宋体" w:cs="宋体"/>
          <w:b w:val="0"/>
          <w:bCs/>
          <w:color w:val="auto"/>
          <w:sz w:val="24"/>
          <w:szCs w:val="24"/>
          <w:highlight w:val="none"/>
          <w:lang w:val="en-US" w:eastAsia="zh-CN"/>
        </w:rPr>
        <w:t>正常使用</w:t>
      </w:r>
      <w:r>
        <w:rPr>
          <w:rFonts w:hint="eastAsia" w:ascii="宋体" w:hAnsi="宋体" w:eastAsia="宋体" w:cs="宋体"/>
          <w:b w:val="0"/>
          <w:bCs/>
          <w:color w:val="auto"/>
          <w:sz w:val="24"/>
          <w:szCs w:val="24"/>
          <w:highlight w:val="none"/>
        </w:rPr>
        <w:t>运行中出现的任何</w:t>
      </w:r>
      <w:r>
        <w:rPr>
          <w:rFonts w:hint="eastAsia" w:ascii="宋体" w:hAnsi="宋体" w:eastAsia="宋体" w:cs="宋体"/>
          <w:b w:val="0"/>
          <w:bCs/>
          <w:color w:val="auto"/>
          <w:sz w:val="24"/>
          <w:szCs w:val="24"/>
          <w:highlight w:val="none"/>
          <w:lang w:eastAsia="zh-CN"/>
        </w:rPr>
        <w:t>故障</w:t>
      </w:r>
      <w:r>
        <w:rPr>
          <w:rFonts w:hint="eastAsia" w:ascii="宋体" w:hAnsi="宋体" w:eastAsia="宋体" w:cs="宋体"/>
          <w:b w:val="0"/>
          <w:bCs/>
          <w:color w:val="auto"/>
          <w:sz w:val="24"/>
          <w:szCs w:val="24"/>
          <w:highlight w:val="none"/>
        </w:rPr>
        <w:t>问题</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负责免费提供技术支持</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免费更换</w:t>
      </w:r>
      <w:r>
        <w:rPr>
          <w:rFonts w:hint="eastAsia" w:ascii="宋体" w:hAnsi="宋体" w:eastAsia="宋体" w:cs="宋体"/>
          <w:b w:val="0"/>
          <w:bCs/>
          <w:color w:val="auto"/>
          <w:sz w:val="24"/>
          <w:szCs w:val="24"/>
          <w:highlight w:val="none"/>
          <w:lang w:eastAsia="zh-CN"/>
        </w:rPr>
        <w:t>和</w:t>
      </w:r>
      <w:r>
        <w:rPr>
          <w:rFonts w:hint="eastAsia" w:ascii="宋体" w:hAnsi="宋体" w:eastAsia="宋体" w:cs="宋体"/>
          <w:b w:val="0"/>
          <w:bCs/>
          <w:color w:val="auto"/>
          <w:sz w:val="24"/>
          <w:szCs w:val="24"/>
          <w:highlight w:val="none"/>
        </w:rPr>
        <w:t>维修故障设备</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招标方管理不善导致的人为故意损坏故障的，由招标方承担更换的配件费用，不计维修人工费</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；维保期间的日常保养要及时派出专业人员对设备进行检查、调整润滑、保证电梯正常运行</w:t>
      </w:r>
      <w:r>
        <w:rPr>
          <w:rFonts w:hint="eastAsia" w:ascii="宋体" w:hAnsi="宋体" w:eastAsia="宋体" w:cs="宋体"/>
          <w:b w:val="0"/>
          <w:bCs/>
          <w:color w:val="auto"/>
          <w:sz w:val="24"/>
          <w:szCs w:val="24"/>
          <w:highlight w:val="none"/>
          <w:lang w:eastAsia="zh-CN"/>
        </w:rPr>
        <w:t>，免保期内每台电梯每月相同故障现象不得超过</w:t>
      </w:r>
      <w:r>
        <w:rPr>
          <w:rFonts w:hint="eastAsia" w:ascii="宋体" w:hAnsi="宋体" w:eastAsia="宋体" w:cs="宋体"/>
          <w:b w:val="0"/>
          <w:bCs/>
          <w:color w:val="auto"/>
          <w:sz w:val="24"/>
          <w:szCs w:val="24"/>
          <w:highlight w:val="none"/>
          <w:lang w:val="en-US" w:eastAsia="zh-CN"/>
        </w:rPr>
        <w:t>2次，每违反一次将延长一年免保或处以合同金额2%的违约金</w:t>
      </w:r>
      <w:r>
        <w:rPr>
          <w:rFonts w:hint="eastAsia" w:ascii="宋体" w:hAnsi="宋体" w:eastAsia="宋体" w:cs="宋体"/>
          <w:b w:val="0"/>
          <w:bCs/>
          <w:color w:val="auto"/>
          <w:sz w:val="24"/>
          <w:szCs w:val="24"/>
          <w:highlight w:val="none"/>
        </w:rPr>
        <w:t>。</w:t>
      </w:r>
    </w:p>
    <w:p>
      <w:pPr>
        <w:tabs>
          <w:tab w:val="left" w:pos="2040"/>
        </w:tabs>
        <w:spacing w:line="360" w:lineRule="auto"/>
        <w:ind w:firstLine="47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rPr>
        <w:t>投标人</w:t>
      </w:r>
      <w:r>
        <w:rPr>
          <w:rFonts w:hint="eastAsia" w:ascii="宋体" w:hAnsi="宋体" w:eastAsia="宋体" w:cs="宋体"/>
          <w:b w:val="0"/>
          <w:bCs/>
          <w:color w:val="auto"/>
          <w:sz w:val="24"/>
          <w:szCs w:val="24"/>
          <w:highlight w:val="none"/>
          <w:lang w:eastAsia="zh-CN"/>
        </w:rPr>
        <w:t>投标时</w:t>
      </w:r>
      <w:r>
        <w:rPr>
          <w:rFonts w:hint="eastAsia" w:ascii="宋体" w:hAnsi="宋体" w:eastAsia="宋体" w:cs="宋体"/>
          <w:b w:val="0"/>
          <w:bCs/>
          <w:color w:val="auto"/>
          <w:sz w:val="24"/>
          <w:szCs w:val="24"/>
          <w:highlight w:val="none"/>
        </w:rPr>
        <w:t>应提供质保期结束后本项目全部电梯</w:t>
      </w:r>
      <w:r>
        <w:rPr>
          <w:rFonts w:hint="eastAsia" w:ascii="宋体" w:hAnsi="宋体" w:eastAsia="宋体" w:cs="宋体"/>
          <w:b w:val="0"/>
          <w:bCs/>
          <w:color w:val="auto"/>
          <w:sz w:val="24"/>
          <w:szCs w:val="24"/>
          <w:highlight w:val="none"/>
          <w:lang w:eastAsia="zh-CN"/>
        </w:rPr>
        <w:t>全包和半包</w:t>
      </w:r>
      <w:r>
        <w:rPr>
          <w:rFonts w:hint="eastAsia" w:ascii="宋体" w:hAnsi="宋体" w:eastAsia="宋体" w:cs="宋体"/>
          <w:b w:val="0"/>
          <w:bCs/>
          <w:color w:val="auto"/>
          <w:sz w:val="24"/>
          <w:szCs w:val="24"/>
          <w:highlight w:val="none"/>
        </w:rPr>
        <w:t>维保工作的</w:t>
      </w:r>
      <w:r>
        <w:rPr>
          <w:rFonts w:hint="eastAsia" w:ascii="宋体" w:hAnsi="宋体" w:eastAsia="宋体" w:cs="宋体"/>
          <w:b w:val="0"/>
          <w:bCs/>
          <w:color w:val="auto"/>
          <w:sz w:val="24"/>
          <w:szCs w:val="24"/>
          <w:highlight w:val="none"/>
          <w:lang w:eastAsia="zh-CN"/>
        </w:rPr>
        <w:t>优惠</w:t>
      </w:r>
      <w:r>
        <w:rPr>
          <w:rFonts w:hint="eastAsia" w:ascii="宋体" w:hAnsi="宋体" w:eastAsia="宋体" w:cs="宋体"/>
          <w:b w:val="0"/>
          <w:bCs/>
          <w:color w:val="auto"/>
          <w:sz w:val="24"/>
          <w:szCs w:val="24"/>
          <w:highlight w:val="none"/>
        </w:rPr>
        <w:t>报价（</w:t>
      </w:r>
      <w:r>
        <w:rPr>
          <w:rFonts w:hint="eastAsia" w:ascii="宋体" w:hAnsi="宋体" w:eastAsia="宋体" w:cs="宋体"/>
          <w:b w:val="0"/>
          <w:bCs/>
          <w:color w:val="auto"/>
          <w:sz w:val="24"/>
          <w:szCs w:val="24"/>
          <w:highlight w:val="none"/>
          <w:lang w:eastAsia="zh-CN"/>
        </w:rPr>
        <w:t>报价</w:t>
      </w:r>
      <w:r>
        <w:rPr>
          <w:rFonts w:hint="eastAsia" w:ascii="宋体" w:hAnsi="宋体" w:eastAsia="宋体" w:cs="宋体"/>
          <w:b w:val="0"/>
          <w:bCs/>
          <w:color w:val="auto"/>
          <w:sz w:val="24"/>
          <w:szCs w:val="24"/>
          <w:highlight w:val="none"/>
        </w:rPr>
        <w:t>不在本次投标</w:t>
      </w:r>
      <w:r>
        <w:rPr>
          <w:rFonts w:hint="eastAsia" w:ascii="宋体" w:hAnsi="宋体" w:eastAsia="宋体" w:cs="宋体"/>
          <w:b w:val="0"/>
          <w:bCs/>
          <w:color w:val="auto"/>
          <w:sz w:val="24"/>
          <w:szCs w:val="24"/>
          <w:highlight w:val="none"/>
          <w:lang w:eastAsia="zh-CN"/>
        </w:rPr>
        <w:t>总价</w:t>
      </w:r>
      <w:r>
        <w:rPr>
          <w:rFonts w:hint="eastAsia" w:ascii="宋体" w:hAnsi="宋体" w:eastAsia="宋体" w:cs="宋体"/>
          <w:b w:val="0"/>
          <w:bCs/>
          <w:color w:val="auto"/>
          <w:sz w:val="24"/>
          <w:szCs w:val="24"/>
          <w:highlight w:val="none"/>
        </w:rPr>
        <w:t>范围内</w:t>
      </w:r>
      <w:r>
        <w:rPr>
          <w:rFonts w:hint="eastAsia" w:ascii="宋体" w:hAnsi="宋体" w:eastAsia="宋体" w:cs="宋体"/>
          <w:b w:val="0"/>
          <w:bCs/>
          <w:color w:val="auto"/>
          <w:sz w:val="24"/>
          <w:szCs w:val="24"/>
          <w:highlight w:val="none"/>
          <w:lang w:eastAsia="zh-CN"/>
        </w:rPr>
        <w:t>，但投标人承诺质保期满按该优惠报价提供维保服务</w:t>
      </w:r>
      <w:r>
        <w:rPr>
          <w:rFonts w:hint="eastAsia" w:ascii="宋体" w:hAnsi="宋体" w:eastAsia="宋体" w:cs="宋体"/>
          <w:b w:val="0"/>
          <w:bCs/>
          <w:color w:val="auto"/>
          <w:sz w:val="24"/>
          <w:szCs w:val="24"/>
          <w:highlight w:val="none"/>
        </w:rPr>
        <w:t>）及维保方案以供招标人参考。</w:t>
      </w:r>
    </w:p>
    <w:p>
      <w:pPr>
        <w:tabs>
          <w:tab w:val="left" w:pos="2040"/>
        </w:tabs>
        <w:spacing w:line="360" w:lineRule="auto"/>
        <w:ind w:firstLine="47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3、保修期之后，投标方对产品提供</w:t>
      </w:r>
      <w:r>
        <w:rPr>
          <w:rFonts w:hint="eastAsia" w:ascii="宋体" w:hAnsi="宋体" w:eastAsia="宋体" w:cs="宋体"/>
          <w:b w:val="0"/>
          <w:bCs/>
          <w:color w:val="auto"/>
          <w:sz w:val="24"/>
          <w:szCs w:val="24"/>
          <w:highlight w:val="none"/>
          <w:lang w:eastAsia="zh-CN"/>
        </w:rPr>
        <w:t>终身有偿</w:t>
      </w:r>
      <w:r>
        <w:rPr>
          <w:rFonts w:hint="eastAsia" w:ascii="宋体" w:hAnsi="宋体" w:eastAsia="宋体" w:cs="宋体"/>
          <w:b w:val="0"/>
          <w:bCs/>
          <w:color w:val="auto"/>
          <w:sz w:val="24"/>
          <w:szCs w:val="24"/>
          <w:highlight w:val="none"/>
        </w:rPr>
        <w:t>售后服务，招标方所需的零件投标方不应高于市场价售于招标方，并无偿配合安装、调试</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润滑、保证电梯正常运行。</w:t>
      </w:r>
    </w:p>
    <w:p>
      <w:pPr>
        <w:tabs>
          <w:tab w:val="left" w:pos="2040"/>
        </w:tabs>
        <w:spacing w:line="360" w:lineRule="auto"/>
        <w:ind w:firstLine="470" w:firstLineChars="20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lang w:eastAsia="zh-CN"/>
        </w:rPr>
        <w:t>）其他要求</w:t>
      </w:r>
    </w:p>
    <w:p>
      <w:pPr>
        <w:tabs>
          <w:tab w:val="left" w:pos="2040"/>
        </w:tabs>
        <w:spacing w:line="360" w:lineRule="auto"/>
        <w:ind w:firstLine="705"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目前本项目已完成部分主体结构施工，投标人应仔细查阅《建筑施工图纸》并自行踏勘现场，对《建筑施工图纸》中的电梯底坑、井道、顶层高度及机房高度等设计进行确认，确保所投电梯与《建筑施工图纸》设计的尺寸相匹配或通过进行调整导轨、增加钢支架、砼牛腿等整改加建措施后相匹配</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调整导轨、增加钢支架、砼牛腿等整改措施的相关费用由中标人负责实施并承担费用</w:t>
      </w:r>
      <w:r>
        <w:rPr>
          <w:rFonts w:hint="eastAsia" w:ascii="宋体" w:hAnsi="宋体" w:eastAsia="宋体" w:cs="宋体"/>
          <w:b w:val="0"/>
          <w:bCs/>
          <w:color w:val="auto"/>
          <w:sz w:val="24"/>
          <w:szCs w:val="24"/>
          <w:highlight w:val="none"/>
          <w:lang w:eastAsia="zh-CN"/>
        </w:rPr>
        <w:t>）</w:t>
      </w:r>
      <w:r>
        <w:rPr>
          <w:rFonts w:hint="eastAsia"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《建筑施工图纸》中未包含的电梯安装所需条件由投标人负责达到并承担相关费用。</w:t>
      </w:r>
    </w:p>
    <w:p>
      <w:pPr>
        <w:tabs>
          <w:tab w:val="left" w:pos="2040"/>
        </w:tabs>
        <w:spacing w:line="360" w:lineRule="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    注：《建筑施工图纸》是指由本项目设计单位设计的土建设计文件。</w:t>
      </w:r>
    </w:p>
    <w:p>
      <w:pPr>
        <w:tabs>
          <w:tab w:val="left" w:pos="2040"/>
        </w:tabs>
        <w:spacing w:line="360" w:lineRule="auto"/>
        <w:ind w:firstLine="47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rPr>
        <w:t>中标单位接到中标通知书后五日内以书面形式向设计部门提供电梯</w:t>
      </w:r>
      <w:r>
        <w:rPr>
          <w:rFonts w:hint="eastAsia" w:ascii="宋体" w:hAnsi="宋体" w:eastAsia="宋体" w:cs="宋体"/>
          <w:b w:val="0"/>
          <w:bCs/>
          <w:color w:val="auto"/>
          <w:sz w:val="24"/>
          <w:szCs w:val="24"/>
          <w:highlight w:val="none"/>
          <w:lang w:val="en-US" w:eastAsia="zh-CN"/>
        </w:rPr>
        <w:t>专业</w:t>
      </w:r>
      <w:r>
        <w:rPr>
          <w:rFonts w:hint="eastAsia" w:ascii="宋体" w:hAnsi="宋体" w:eastAsia="宋体" w:cs="宋体"/>
          <w:b w:val="0"/>
          <w:bCs/>
          <w:color w:val="auto"/>
          <w:sz w:val="24"/>
          <w:szCs w:val="24"/>
          <w:highlight w:val="none"/>
        </w:rPr>
        <w:t>图纸，包括吊钩、电梯圈梁等荷载具体信息；吊钩预埋件、各种预留洞口由中标单位提供具体位置并负责</w:t>
      </w:r>
      <w:r>
        <w:rPr>
          <w:rFonts w:hint="eastAsia" w:ascii="宋体" w:hAnsi="宋体" w:eastAsia="宋体" w:cs="宋体"/>
          <w:b w:val="0"/>
          <w:bCs/>
          <w:color w:val="auto"/>
          <w:sz w:val="24"/>
          <w:szCs w:val="24"/>
          <w:highlight w:val="none"/>
          <w:lang w:val="en-US" w:eastAsia="zh-CN"/>
        </w:rPr>
        <w:t>实施，土建</w:t>
      </w:r>
      <w:r>
        <w:rPr>
          <w:rFonts w:hint="eastAsia" w:ascii="宋体" w:hAnsi="宋体" w:eastAsia="宋体" w:cs="宋体"/>
          <w:b w:val="0"/>
          <w:bCs/>
          <w:color w:val="auto"/>
          <w:sz w:val="24"/>
          <w:szCs w:val="24"/>
          <w:highlight w:val="none"/>
        </w:rPr>
        <w:t>施工单位</w:t>
      </w:r>
      <w:r>
        <w:rPr>
          <w:rFonts w:hint="eastAsia" w:ascii="宋体" w:hAnsi="宋体" w:eastAsia="宋体" w:cs="宋体"/>
          <w:b w:val="0"/>
          <w:bCs/>
          <w:color w:val="auto"/>
          <w:sz w:val="24"/>
          <w:szCs w:val="24"/>
          <w:highlight w:val="none"/>
          <w:lang w:val="en-US" w:eastAsia="zh-CN"/>
        </w:rPr>
        <w:t>进行配合</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电梯安装时由于土建问题造成电梯无法安装或有安装缺陷的</w:t>
      </w:r>
      <w:r>
        <w:rPr>
          <w:rFonts w:hint="eastAsia" w:ascii="宋体" w:hAnsi="宋体" w:eastAsia="宋体" w:cs="宋体"/>
          <w:b w:val="0"/>
          <w:bCs/>
          <w:color w:val="auto"/>
          <w:sz w:val="24"/>
          <w:szCs w:val="24"/>
          <w:highlight w:val="none"/>
        </w:rPr>
        <w:t>所有责任</w:t>
      </w:r>
      <w:r>
        <w:rPr>
          <w:rFonts w:hint="eastAsia" w:ascii="宋体" w:hAnsi="宋体" w:eastAsia="宋体" w:cs="宋体"/>
          <w:b w:val="0"/>
          <w:bCs/>
          <w:color w:val="auto"/>
          <w:sz w:val="24"/>
          <w:szCs w:val="24"/>
          <w:highlight w:val="none"/>
          <w:lang w:val="en-US" w:eastAsia="zh-CN"/>
        </w:rPr>
        <w:t>均</w:t>
      </w:r>
      <w:r>
        <w:rPr>
          <w:rFonts w:hint="eastAsia" w:ascii="宋体" w:hAnsi="宋体" w:eastAsia="宋体" w:cs="宋体"/>
          <w:b w:val="0"/>
          <w:bCs/>
          <w:color w:val="auto"/>
          <w:sz w:val="24"/>
          <w:szCs w:val="24"/>
          <w:highlight w:val="none"/>
        </w:rPr>
        <w:t>由中标单位承担</w:t>
      </w:r>
      <w:r>
        <w:rPr>
          <w:rFonts w:hint="eastAsia" w:ascii="宋体" w:hAnsi="宋体" w:eastAsia="宋体" w:cs="宋体"/>
          <w:b w:val="0"/>
          <w:bCs/>
          <w:color w:val="auto"/>
          <w:sz w:val="24"/>
          <w:szCs w:val="24"/>
          <w:highlight w:val="none"/>
          <w:lang w:eastAsia="zh-CN"/>
        </w:rPr>
        <w:t>，土建未按</w:t>
      </w:r>
      <w:r>
        <w:rPr>
          <w:rFonts w:hint="eastAsia" w:ascii="宋体" w:hAnsi="宋体" w:eastAsia="宋体" w:cs="宋体"/>
          <w:b w:val="0"/>
          <w:bCs/>
          <w:color w:val="auto"/>
          <w:sz w:val="24"/>
          <w:szCs w:val="24"/>
          <w:highlight w:val="none"/>
          <w:lang w:val="en-US" w:eastAsia="zh-CN"/>
        </w:rPr>
        <w:t>《建筑施工图纸》和中标人要求</w:t>
      </w:r>
      <w:r>
        <w:rPr>
          <w:rFonts w:hint="eastAsia" w:ascii="宋体" w:hAnsi="宋体" w:eastAsia="宋体" w:cs="宋体"/>
          <w:b w:val="0"/>
          <w:bCs/>
          <w:color w:val="auto"/>
          <w:sz w:val="24"/>
          <w:szCs w:val="24"/>
          <w:highlight w:val="none"/>
          <w:lang w:eastAsia="zh-CN"/>
        </w:rPr>
        <w:t>施工的由土建单位负责</w:t>
      </w:r>
      <w:r>
        <w:rPr>
          <w:rFonts w:hint="eastAsia" w:ascii="宋体" w:hAnsi="宋体" w:eastAsia="宋体" w:cs="宋体"/>
          <w:b w:val="0"/>
          <w:bCs/>
          <w:color w:val="auto"/>
          <w:sz w:val="24"/>
          <w:szCs w:val="24"/>
          <w:highlight w:val="none"/>
        </w:rPr>
        <w:t>。</w:t>
      </w:r>
    </w:p>
    <w:p>
      <w:pPr>
        <w:tabs>
          <w:tab w:val="left" w:pos="2040"/>
        </w:tabs>
        <w:spacing w:line="360" w:lineRule="auto"/>
        <w:ind w:firstLine="47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w:t>
      </w:r>
      <w:r>
        <w:rPr>
          <w:rFonts w:hint="eastAsia" w:ascii="宋体" w:hAnsi="宋体" w:eastAsia="宋体" w:cs="宋体"/>
          <w:color w:val="auto"/>
          <w:spacing w:val="-6"/>
          <w:sz w:val="24"/>
          <w:szCs w:val="24"/>
          <w:highlight w:val="none"/>
        </w:rPr>
        <w:t>共用操作面、脚手架、垂直运输、</w:t>
      </w:r>
      <w:r>
        <w:rPr>
          <w:rFonts w:hint="eastAsia" w:ascii="宋体" w:hAnsi="宋体" w:eastAsia="宋体" w:cs="宋体"/>
          <w:b w:val="0"/>
          <w:bCs/>
          <w:color w:val="auto"/>
          <w:sz w:val="24"/>
          <w:szCs w:val="24"/>
          <w:highlight w:val="none"/>
        </w:rPr>
        <w:t>起吊设备</w:t>
      </w:r>
      <w:r>
        <w:rPr>
          <w:rFonts w:hint="eastAsia" w:ascii="宋体" w:hAnsi="宋体" w:eastAsia="宋体" w:cs="宋体"/>
          <w:b w:val="0"/>
          <w:bCs/>
          <w:color w:val="auto"/>
          <w:sz w:val="24"/>
          <w:szCs w:val="24"/>
          <w:highlight w:val="none"/>
          <w:lang w:eastAsia="zh-CN"/>
        </w:rPr>
        <w:t>、</w:t>
      </w:r>
      <w:r>
        <w:rPr>
          <w:rFonts w:hint="eastAsia" w:ascii="宋体" w:hAnsi="宋体" w:eastAsia="宋体" w:cs="宋体"/>
          <w:color w:val="auto"/>
          <w:spacing w:val="-6"/>
          <w:sz w:val="24"/>
          <w:szCs w:val="24"/>
          <w:highlight w:val="none"/>
        </w:rPr>
        <w:t>临时场地</w:t>
      </w:r>
      <w:r>
        <w:rPr>
          <w:rFonts w:hint="eastAsia" w:ascii="宋体" w:hAnsi="宋体" w:eastAsia="宋体" w:cs="宋体"/>
          <w:color w:val="auto"/>
          <w:spacing w:val="-6"/>
          <w:sz w:val="24"/>
          <w:szCs w:val="24"/>
          <w:highlight w:val="none"/>
          <w:lang w:eastAsia="zh-CN"/>
        </w:rPr>
        <w:t>、临时道路</w:t>
      </w:r>
      <w:r>
        <w:rPr>
          <w:rFonts w:hint="eastAsia" w:ascii="宋体" w:hAnsi="宋体" w:eastAsia="宋体" w:cs="宋体"/>
          <w:color w:val="auto"/>
          <w:spacing w:val="-6"/>
          <w:sz w:val="24"/>
          <w:szCs w:val="24"/>
          <w:highlight w:val="none"/>
        </w:rPr>
        <w:t>等</w:t>
      </w:r>
      <w:r>
        <w:rPr>
          <w:rFonts w:hint="eastAsia" w:ascii="宋体" w:hAnsi="宋体" w:eastAsia="宋体" w:cs="宋体"/>
          <w:b w:val="0"/>
          <w:bCs/>
          <w:color w:val="auto"/>
          <w:sz w:val="24"/>
          <w:szCs w:val="24"/>
          <w:highlight w:val="none"/>
        </w:rPr>
        <w:t>为施工现场现有条件，如不能满足要求，中标人自行解决， 招标人不再另行支付费用。</w:t>
      </w:r>
    </w:p>
    <w:p>
      <w:pPr>
        <w:tabs>
          <w:tab w:val="left" w:pos="2040"/>
        </w:tabs>
        <w:spacing w:line="360" w:lineRule="auto"/>
        <w:ind w:firstLine="47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3、在土建施工过程中，中标</w:t>
      </w:r>
      <w:r>
        <w:rPr>
          <w:rFonts w:hint="eastAsia" w:ascii="宋体" w:hAnsi="宋体" w:eastAsia="宋体" w:cs="宋体"/>
          <w:b w:val="0"/>
          <w:bCs/>
          <w:color w:val="auto"/>
          <w:sz w:val="24"/>
          <w:szCs w:val="24"/>
          <w:highlight w:val="none"/>
          <w:lang w:val="en-US" w:eastAsia="zh-CN"/>
        </w:rPr>
        <w:t>人</w:t>
      </w:r>
      <w:r>
        <w:rPr>
          <w:rFonts w:hint="eastAsia" w:ascii="宋体" w:hAnsi="宋体" w:eastAsia="宋体" w:cs="宋体"/>
          <w:b w:val="0"/>
          <w:bCs/>
          <w:color w:val="auto"/>
          <w:sz w:val="24"/>
          <w:szCs w:val="24"/>
          <w:highlight w:val="none"/>
        </w:rPr>
        <w:t>必须派出技术人员每周到工地勘查并指导预留洞口、预埋吊钩和井道的尺寸施工状况，保证其准确，发现问题及时以书面形式提供给招标人，以便修改。如中标单位没有派人，或者没有提出书面文件交给招标人，土建施工单位将按</w:t>
      </w:r>
      <w:r>
        <w:rPr>
          <w:rFonts w:hint="eastAsia" w:ascii="宋体" w:hAnsi="宋体" w:eastAsia="宋体" w:cs="宋体"/>
          <w:b w:val="0"/>
          <w:bCs/>
          <w:color w:val="auto"/>
          <w:sz w:val="24"/>
          <w:szCs w:val="24"/>
          <w:highlight w:val="none"/>
          <w:lang w:val="en-US" w:eastAsia="zh-CN"/>
        </w:rPr>
        <w:t>《建筑施工图纸》进行土建施工和</w:t>
      </w:r>
      <w:r>
        <w:rPr>
          <w:rFonts w:hint="eastAsia" w:ascii="宋体" w:hAnsi="宋体" w:eastAsia="宋体" w:cs="宋体"/>
          <w:b w:val="0"/>
          <w:bCs/>
          <w:color w:val="auto"/>
          <w:sz w:val="24"/>
          <w:szCs w:val="24"/>
          <w:highlight w:val="none"/>
        </w:rPr>
        <w:t>预埋预留，如中标</w:t>
      </w:r>
      <w:r>
        <w:rPr>
          <w:rFonts w:hint="eastAsia" w:ascii="宋体" w:hAnsi="宋体" w:eastAsia="宋体" w:cs="宋体"/>
          <w:b w:val="0"/>
          <w:bCs/>
          <w:color w:val="auto"/>
          <w:sz w:val="24"/>
          <w:szCs w:val="24"/>
          <w:highlight w:val="none"/>
          <w:lang w:eastAsia="zh-CN"/>
        </w:rPr>
        <w:t>人</w:t>
      </w:r>
      <w:r>
        <w:rPr>
          <w:rFonts w:hint="eastAsia" w:ascii="宋体" w:hAnsi="宋体" w:eastAsia="宋体" w:cs="宋体"/>
          <w:b w:val="0"/>
          <w:bCs/>
          <w:color w:val="auto"/>
          <w:sz w:val="24"/>
          <w:szCs w:val="24"/>
          <w:highlight w:val="none"/>
        </w:rPr>
        <w:t>提出更改，费用由中标单位承担。</w:t>
      </w:r>
    </w:p>
    <w:p>
      <w:pPr>
        <w:tabs>
          <w:tab w:val="left" w:pos="2040"/>
        </w:tabs>
        <w:spacing w:line="360" w:lineRule="auto"/>
        <w:ind w:firstLine="47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4、</w:t>
      </w:r>
      <w:r>
        <w:rPr>
          <w:rFonts w:hint="eastAsia" w:ascii="宋体" w:hAnsi="宋体" w:eastAsia="宋体" w:cs="宋体"/>
          <w:b w:val="0"/>
          <w:bCs/>
          <w:color w:val="auto"/>
          <w:sz w:val="24"/>
          <w:szCs w:val="24"/>
          <w:highlight w:val="none"/>
          <w:lang w:val="en-US" w:eastAsia="zh-CN"/>
        </w:rPr>
        <w:t>为</w:t>
      </w:r>
      <w:r>
        <w:rPr>
          <w:rFonts w:hint="eastAsia" w:ascii="宋体" w:hAnsi="宋体" w:eastAsia="宋体" w:cs="宋体"/>
          <w:b w:val="0"/>
          <w:bCs/>
          <w:color w:val="auto"/>
          <w:sz w:val="24"/>
          <w:szCs w:val="24"/>
          <w:highlight w:val="none"/>
        </w:rPr>
        <w:t>了尽可能降低电梯运行时所产生的噪音</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达到或超过招标文件要求的限值</w:t>
      </w:r>
      <w:r>
        <w:rPr>
          <w:rFonts w:hint="eastAsia" w:ascii="宋体" w:hAnsi="宋体" w:eastAsia="宋体" w:cs="宋体"/>
          <w:b w:val="0"/>
          <w:bCs/>
          <w:color w:val="auto"/>
          <w:sz w:val="24"/>
          <w:szCs w:val="24"/>
          <w:highlight w:val="none"/>
        </w:rPr>
        <w:t>，投标单位应在标书中注明采取防噪音和减震的措施。</w:t>
      </w:r>
    </w:p>
    <w:p>
      <w:pPr>
        <w:tabs>
          <w:tab w:val="left" w:pos="2040"/>
        </w:tabs>
        <w:spacing w:line="360" w:lineRule="auto"/>
        <w:ind w:firstLine="47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5、投标文件中应明确提出要求招标人完成的电气施工（含室内室外穿线管、配置电源箱等）内容，没提及的，视为中标人工作范围。电梯系统室内穿线、与设备安装连接</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与电源连接</w:t>
      </w:r>
      <w:r>
        <w:rPr>
          <w:rFonts w:hint="eastAsia" w:ascii="宋体" w:hAnsi="宋体" w:eastAsia="宋体" w:cs="宋体"/>
          <w:b w:val="0"/>
          <w:bCs/>
          <w:color w:val="auto"/>
          <w:sz w:val="24"/>
          <w:szCs w:val="24"/>
          <w:highlight w:val="none"/>
        </w:rPr>
        <w:t>工作一律为中标人工作范围。室外穿线若不提及要求甲方完成的内容，也视为中标人工作范围。</w:t>
      </w:r>
    </w:p>
    <w:p>
      <w:pPr>
        <w:tabs>
          <w:tab w:val="left" w:pos="2040"/>
        </w:tabs>
        <w:spacing w:line="360" w:lineRule="auto"/>
        <w:ind w:firstLine="47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6、根据国家现行的设计及施工有关规范要求和规定，供货设备以及安装所用的器具必须是全新的、能够响应招标人的使用要求</w:t>
      </w:r>
      <w:r>
        <w:rPr>
          <w:rFonts w:hint="eastAsia" w:ascii="宋体" w:hAnsi="宋体" w:eastAsia="宋体" w:cs="宋体"/>
          <w:b w:val="0"/>
          <w:bCs/>
          <w:color w:val="auto"/>
          <w:sz w:val="24"/>
          <w:szCs w:val="24"/>
          <w:highlight w:val="none"/>
          <w:lang w:val="en-US" w:eastAsia="zh-CN"/>
        </w:rPr>
        <w:t>并与《建筑施工图纸》</w:t>
      </w:r>
      <w:r>
        <w:rPr>
          <w:rFonts w:hint="eastAsia" w:ascii="宋体" w:hAnsi="宋体" w:eastAsia="宋体" w:cs="宋体"/>
          <w:b w:val="0"/>
          <w:bCs/>
          <w:color w:val="auto"/>
          <w:sz w:val="24"/>
          <w:szCs w:val="24"/>
          <w:highlight w:val="none"/>
        </w:rPr>
        <w:t>设计</w:t>
      </w:r>
      <w:r>
        <w:rPr>
          <w:rFonts w:hint="eastAsia" w:ascii="宋体" w:hAnsi="宋体" w:eastAsia="宋体" w:cs="宋体"/>
          <w:b w:val="0"/>
          <w:bCs/>
          <w:color w:val="auto"/>
          <w:sz w:val="24"/>
          <w:szCs w:val="24"/>
          <w:highlight w:val="none"/>
          <w:lang w:val="en-US" w:eastAsia="zh-CN"/>
        </w:rPr>
        <w:t>预留空间的高度、位置、尺寸相匹配</w:t>
      </w:r>
      <w:r>
        <w:rPr>
          <w:rFonts w:hint="eastAsia" w:ascii="宋体" w:hAnsi="宋体" w:eastAsia="宋体" w:cs="宋体"/>
          <w:b w:val="0"/>
          <w:bCs/>
          <w:color w:val="auto"/>
          <w:sz w:val="24"/>
          <w:szCs w:val="24"/>
          <w:highlight w:val="none"/>
        </w:rPr>
        <w:t>。</w:t>
      </w:r>
    </w:p>
    <w:p>
      <w:pPr>
        <w:tabs>
          <w:tab w:val="left" w:pos="2040"/>
        </w:tabs>
        <w:spacing w:line="360" w:lineRule="auto"/>
        <w:ind w:firstLine="470" w:firstLineChars="200"/>
        <w:rPr>
          <w:rFonts w:hint="eastAsia" w:ascii="宋体" w:hAnsi="宋体" w:eastAsia="宋体" w:cs="宋体"/>
          <w:color w:val="auto"/>
          <w:spacing w:val="-3"/>
          <w:sz w:val="24"/>
          <w:szCs w:val="24"/>
          <w:highlight w:val="none"/>
        </w:rPr>
      </w:pPr>
      <w:r>
        <w:rPr>
          <w:rFonts w:hint="eastAsia" w:ascii="宋体" w:hAnsi="宋体" w:eastAsia="宋体" w:cs="宋体"/>
          <w:b w:val="0"/>
          <w:bCs/>
          <w:color w:val="auto"/>
          <w:sz w:val="24"/>
          <w:szCs w:val="24"/>
          <w:highlight w:val="none"/>
        </w:rPr>
        <w:t>7、投标单位报价中应考虑缴纳“</w:t>
      </w:r>
      <w:r>
        <w:rPr>
          <w:rFonts w:hint="eastAsia" w:ascii="宋体" w:hAnsi="宋体" w:eastAsia="宋体" w:cs="宋体"/>
          <w:b/>
          <w:bCs w:val="0"/>
          <w:color w:val="auto"/>
          <w:sz w:val="24"/>
          <w:szCs w:val="24"/>
          <w:highlight w:val="none"/>
        </w:rPr>
        <w:t>安装工程结算审计价格的 3%（不含设备费）</w:t>
      </w:r>
      <w:r>
        <w:rPr>
          <w:rFonts w:hint="eastAsia" w:ascii="宋体" w:hAnsi="宋体" w:eastAsia="宋体" w:cs="宋体"/>
          <w:b w:val="0"/>
          <w:bCs/>
          <w:color w:val="auto"/>
          <w:sz w:val="24"/>
          <w:szCs w:val="24"/>
          <w:highlight w:val="none"/>
        </w:rPr>
        <w:t>”的总包服务费，</w:t>
      </w:r>
      <w:r>
        <w:rPr>
          <w:rFonts w:hint="eastAsia" w:ascii="宋体" w:hAnsi="宋体" w:eastAsia="宋体" w:cs="宋体"/>
          <w:b w:val="0"/>
          <w:bCs/>
          <w:color w:val="auto"/>
          <w:sz w:val="24"/>
          <w:szCs w:val="24"/>
          <w:highlight w:val="none"/>
          <w:lang w:eastAsia="zh-CN"/>
        </w:rPr>
        <w:t>服从总包管理</w:t>
      </w:r>
      <w:r>
        <w:rPr>
          <w:rFonts w:hint="eastAsia" w:ascii="宋体" w:hAnsi="宋体" w:eastAsia="宋体" w:cs="宋体"/>
          <w:b w:val="0"/>
          <w:bCs/>
          <w:color w:val="auto"/>
          <w:sz w:val="24"/>
          <w:szCs w:val="24"/>
          <w:highlight w:val="none"/>
        </w:rPr>
        <w:t>并满足该项目整体施工的进度计划安排</w:t>
      </w:r>
      <w:r>
        <w:rPr>
          <w:rFonts w:hint="eastAsia" w:ascii="宋体" w:hAnsi="宋体" w:eastAsia="宋体" w:cs="宋体"/>
          <w:color w:val="auto"/>
          <w:spacing w:val="-3"/>
          <w:sz w:val="24"/>
          <w:szCs w:val="24"/>
          <w:highlight w:val="none"/>
        </w:rPr>
        <w:t>。</w:t>
      </w:r>
    </w:p>
    <w:p>
      <w:pPr>
        <w:pStyle w:val="23"/>
        <w:ind w:left="0" w:leftChars="0" w:firstLine="0" w:firstLineChars="0"/>
        <w:rPr>
          <w:rFonts w:hint="eastAsia" w:ascii="宋体" w:hAnsi="宋体" w:eastAsia="宋体" w:cs="宋体"/>
          <w:color w:val="auto"/>
          <w:highlight w:val="none"/>
          <w:lang w:val="en-US" w:eastAsia="zh-CN"/>
        </w:rPr>
      </w:pPr>
    </w:p>
    <w:p>
      <w:pPr>
        <w:spacing w:line="360" w:lineRule="auto"/>
        <w:ind w:firstLine="470" w:firstLineChars="200"/>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rPr>
        <w:t xml:space="preserve"> </w:t>
      </w:r>
    </w:p>
    <w:p>
      <w:pPr>
        <w:rPr>
          <w:rFonts w:hint="eastAsia" w:ascii="宋体" w:hAnsi="宋体" w:eastAsia="宋体" w:cs="宋体"/>
          <w:color w:val="auto"/>
          <w:sz w:val="24"/>
          <w:szCs w:val="24"/>
          <w:highlight w:val="none"/>
        </w:rPr>
      </w:pPr>
    </w:p>
    <w:p>
      <w:pPr>
        <w:rPr>
          <w:rFonts w:hint="eastAsia" w:ascii="宋体" w:hAnsi="宋体" w:eastAsia="宋体" w:cs="宋体"/>
          <w:color w:val="auto"/>
          <w:sz w:val="17"/>
          <w:highlight w:val="none"/>
        </w:rPr>
        <w:sectPr>
          <w:pgSz w:w="11911" w:h="16838"/>
          <w:pgMar w:top="1355" w:right="1134" w:bottom="1134" w:left="1134" w:header="850" w:footer="992" w:gutter="0"/>
          <w:cols w:space="0" w:num="1"/>
          <w:docGrid w:type="linesAndChars" w:linePitch="326" w:charSpace="-1228"/>
        </w:sectPr>
      </w:pPr>
    </w:p>
    <w:p>
      <w:pPr>
        <w:pStyle w:val="4"/>
        <w:spacing w:line="240" w:lineRule="auto"/>
        <w:jc w:val="center"/>
        <w:rPr>
          <w:rFonts w:hint="eastAsia" w:ascii="宋体" w:hAnsi="宋体" w:eastAsia="宋体" w:cs="宋体"/>
          <w:color w:val="auto"/>
          <w:sz w:val="30"/>
          <w:highlight w:val="none"/>
          <w:lang w:val="en-US" w:eastAsia="zh-CN"/>
        </w:rPr>
      </w:pPr>
      <w:bookmarkStart w:id="18" w:name="下篇___通用部分"/>
      <w:bookmarkEnd w:id="18"/>
      <w:bookmarkStart w:id="19" w:name="_Toc14737"/>
      <w:bookmarkStart w:id="20" w:name="_Toc14320"/>
      <w:bookmarkStart w:id="21" w:name="_Toc26344"/>
      <w:r>
        <w:rPr>
          <w:rFonts w:hint="eastAsia" w:ascii="宋体" w:hAnsi="宋体" w:eastAsia="宋体" w:cs="宋体"/>
          <w:color w:val="auto"/>
          <w:sz w:val="30"/>
          <w:highlight w:val="none"/>
        </w:rPr>
        <w:t>第</w:t>
      </w:r>
      <w:r>
        <w:rPr>
          <w:rFonts w:hint="eastAsia" w:ascii="宋体" w:hAnsi="宋体" w:eastAsia="宋体" w:cs="宋体"/>
          <w:color w:val="auto"/>
          <w:sz w:val="30"/>
          <w:highlight w:val="none"/>
          <w:lang w:val="en-US" w:eastAsia="zh-CN"/>
        </w:rPr>
        <w:t>五</w:t>
      </w:r>
      <w:r>
        <w:rPr>
          <w:rFonts w:hint="eastAsia" w:ascii="宋体" w:hAnsi="宋体" w:eastAsia="宋体" w:cs="宋体"/>
          <w:color w:val="auto"/>
          <w:sz w:val="30"/>
          <w:highlight w:val="none"/>
        </w:rPr>
        <w:t>章</w:t>
      </w:r>
      <w:r>
        <w:rPr>
          <w:rFonts w:hint="eastAsia" w:ascii="宋体" w:hAnsi="宋体" w:eastAsia="宋体" w:cs="宋体"/>
          <w:color w:val="auto"/>
          <w:sz w:val="30"/>
          <w:highlight w:val="none"/>
          <w:lang w:val="en-US"/>
        </w:rPr>
        <w:t xml:space="preserve">  </w:t>
      </w:r>
      <w:r>
        <w:rPr>
          <w:rFonts w:hint="eastAsia" w:ascii="宋体" w:hAnsi="宋体" w:eastAsia="宋体" w:cs="宋体"/>
          <w:color w:val="auto"/>
          <w:sz w:val="30"/>
          <w:highlight w:val="none"/>
          <w:lang w:val="en-US" w:eastAsia="zh-CN"/>
        </w:rPr>
        <w:t>工程量清单</w:t>
      </w:r>
      <w:bookmarkEnd w:id="19"/>
    </w:p>
    <w:tbl>
      <w:tblPr>
        <w:tblStyle w:val="2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3"/>
        <w:gridCol w:w="2301"/>
        <w:gridCol w:w="778"/>
        <w:gridCol w:w="1734"/>
        <w:gridCol w:w="1703"/>
        <w:gridCol w:w="1041"/>
        <w:gridCol w:w="1041"/>
        <w:gridCol w:w="1041"/>
        <w:gridCol w:w="933"/>
        <w:gridCol w:w="1328"/>
        <w:gridCol w:w="15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序号</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电梯功能</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台数</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井道尺寸（宽</w:t>
            </w:r>
            <w:r>
              <w:rPr>
                <w:rStyle w:val="61"/>
                <w:rFonts w:hint="eastAsia" w:ascii="宋体" w:hAnsi="宋体" w:eastAsia="宋体" w:cs="宋体"/>
                <w:color w:val="auto"/>
                <w:highlight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深）</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门洞尺寸</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层（站）数</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载重量</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速度</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总提升高度（m）</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使用部位</w:t>
            </w: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YT-1医用电梯1（无障碍电梯）</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2700×3100mm</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1400×2300mm</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17(17)</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1.75m/s</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67.100 </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地上15层，地下2层</w:t>
            </w: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有机房电梯，病床梯，洁梯，应满足无障碍要求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 </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YT-2医用电梯2</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2500×3200mm</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1400×2300mm</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17(17)</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1.75m/s</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67.100 </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地上15层，地下2层</w:t>
            </w: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有机房电梯，病床梯，洁梯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 </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YT-3医用电梯3</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2500×3100mm</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1400×2300mm</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15(15)</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1.75m/s</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57.800 </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地上15层</w:t>
            </w: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有机房电梯，病床梯，洁梯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 </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YT-4医用电梯4（无障碍电梯）</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2700×3000mm</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1400×2300mm</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17(17)</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1.75m/s</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67.100 </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地上15层，地下2层</w:t>
            </w: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有机房电梯，病床梯，洁梯，应满足无障碍要求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 </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YT-5医用电梯5</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2500×3200mm</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1400×2300mm</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17(17)</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1.75m/s</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67.100 </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地上15层，地下2层</w:t>
            </w: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有机房电梯，病床梯，洁梯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6 </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YT-6医用电梯6</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2500×3200mm</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1400×2300mm</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15(15)</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1.75m/s</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57.800 </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地上15层</w:t>
            </w: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有机房电梯，病床梯，洁梯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7 </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KT-1医护专用电梯1</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2100×3000mm</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1200×2300mm</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18(18)</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1.75m/s</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71.000 </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地上16层，地下2层</w:t>
            </w: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无机房电梯，医护专用梯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8 </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KT-2医护专用电梯2</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2100×3000mm</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1200×2300mm</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18(18)</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1.75m/s</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71.000 </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地上16层，地下2层</w:t>
            </w: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无机房电梯，医护专用梯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9 </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WT-1污物电梯1</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2500×3400mm</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1400×2300mm</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18(18)</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1.75m/s</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71.000 </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地上16层，地下2层</w:t>
            </w: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无机房电梯，污物梯，贯通电梯，消防电梯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 </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WT-2污物电梯2</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2200×2400mm</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1200×2300mm</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6(6)</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1.0m/s</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23.700 </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地上5层，地下1层</w:t>
            </w: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无机房电梯，污物梯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11 </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YT-7医用电梯7</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2400×3100mm</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1400×2300mm</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4(4)</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1.0m/s</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14.400 </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地上2层，地下2层</w:t>
            </w: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无机房电梯，病床梯，洁梯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12 </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HT-1货梯1</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1600×1900mm</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1000×2300mm</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4(4)</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0.32T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1.0m/s</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13.900 </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地上4层</w:t>
            </w: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无机房电梯，货梯（</w:t>
            </w:r>
            <w:r>
              <w:rPr>
                <w:rFonts w:hint="eastAsia" w:cs="宋体"/>
                <w:i w:val="0"/>
                <w:iCs w:val="0"/>
                <w:color w:val="auto"/>
                <w:kern w:val="0"/>
                <w:sz w:val="20"/>
                <w:szCs w:val="20"/>
                <w:highlight w:val="none"/>
                <w:u w:val="none"/>
                <w:lang w:val="en-US" w:eastAsia="zh-CN" w:bidi="ar"/>
              </w:rPr>
              <w:t>载人</w:t>
            </w:r>
            <w:r>
              <w:rPr>
                <w:rFonts w:hint="eastAsia" w:ascii="宋体" w:hAnsi="宋体" w:eastAsia="宋体" w:cs="宋体"/>
                <w:i w:val="0"/>
                <w:iCs w:val="0"/>
                <w:color w:val="auto"/>
                <w:kern w:val="0"/>
                <w:sz w:val="20"/>
                <w:szCs w:val="20"/>
                <w:highlight w:val="none"/>
                <w:u w:val="none"/>
                <w:lang w:val="en-US" w:eastAsia="zh-CN" w:bidi="ar"/>
              </w:rPr>
              <w:t>），贯通电梯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13 </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HT-2货梯2</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1500×1500mm</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1000×2300mm</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15(15)</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0.2T</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1.0m/s</w:t>
            </w:r>
          </w:p>
        </w:tc>
        <w:tc>
          <w:tcPr>
            <w:tcW w:w="3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57.800 </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地上15层</w:t>
            </w: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无机房电梯，货梯</w:t>
            </w:r>
            <w:r>
              <w:rPr>
                <w:rFonts w:hint="eastAsia" w:ascii="宋体" w:hAnsi="宋体" w:eastAsia="宋体" w:cs="宋体"/>
                <w:i w:val="0"/>
                <w:iCs w:val="0"/>
                <w:color w:val="auto"/>
                <w:kern w:val="0"/>
                <w:sz w:val="20"/>
                <w:szCs w:val="20"/>
                <w:highlight w:val="none"/>
                <w:u w:val="none"/>
                <w:lang w:val="en-US" w:eastAsia="zh-CN" w:bidi="ar"/>
              </w:rPr>
              <w:t>（载物）</w:t>
            </w:r>
          </w:p>
          <w:p>
            <w:pPr>
              <w:pStyle w:val="23"/>
              <w:rPr>
                <w:rFonts w:hint="eastAsia" w:ascii="宋体" w:hAnsi="宋体" w:eastAsia="宋体" w:cs="宋体"/>
                <w:color w:val="auto"/>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3"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pStyle w:val="4"/>
              <w:spacing w:line="240" w:lineRule="auto"/>
              <w:jc w:val="left"/>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注：1、投标人仔细查阅图纸，一览表中相关参数与图纸不符的按图纸执行。</w:t>
            </w:r>
          </w:p>
          <w:p>
            <w:pPr>
              <w:pStyle w:val="4"/>
              <w:spacing w:line="240" w:lineRule="auto"/>
              <w:jc w:val="left"/>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清单报价应是电梯设备采购安装验收合格并移交使用及完成售后服务的全部内容的价格体现（包括但不限于成套的设备费、安装调试费、备品备件费、各种税费、检测费、验收费、包装费、运杂费、装卸及保险费、培训费、质保期维修维保费、总包服务费，井道调整加建费用（井道土建按建筑施工图纸设计施工，填充墙圈梁按中标人要求设置），机房的支撑梁施工，基坑缓冲器砼墩，井道照明及爬梯，门套灌浆固定、封堵，井道砌体及混凝土凿除、开孔及封堵及其他土建总包配合等建筑施工图纸未涉及的相关费用），所发生的一切费用，均包含在投标报价中，中标后签订合同时和施工过程中，投标人不得以任何理由提出任何形式的增加费用或索赔的要求。</w:t>
            </w:r>
          </w:p>
          <w:p>
            <w:pPr>
              <w:pStyle w:val="4"/>
              <w:spacing w:line="240" w:lineRule="auto"/>
              <w:jc w:val="left"/>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3、HT-2货梯2为医用药品电梯。</w:t>
            </w:r>
          </w:p>
        </w:tc>
      </w:tr>
    </w:tbl>
    <w:p>
      <w:pPr>
        <w:pStyle w:val="4"/>
        <w:spacing w:line="240" w:lineRule="auto"/>
        <w:jc w:val="both"/>
        <w:rPr>
          <w:rFonts w:hint="eastAsia" w:ascii="宋体" w:hAnsi="宋体" w:eastAsia="宋体" w:cs="宋体"/>
          <w:color w:val="auto"/>
          <w:sz w:val="30"/>
          <w:highlight w:val="none"/>
        </w:rPr>
      </w:pPr>
    </w:p>
    <w:p>
      <w:pPr>
        <w:pStyle w:val="4"/>
        <w:rPr>
          <w:rFonts w:hint="eastAsia" w:ascii="宋体" w:hAnsi="宋体" w:eastAsia="宋体" w:cs="宋体"/>
          <w:color w:val="auto"/>
          <w:sz w:val="30"/>
          <w:highlight w:val="none"/>
        </w:rPr>
      </w:pPr>
    </w:p>
    <w:p>
      <w:pPr>
        <w:pStyle w:val="4"/>
        <w:spacing w:line="240" w:lineRule="auto"/>
        <w:jc w:val="both"/>
        <w:rPr>
          <w:rFonts w:hint="eastAsia" w:ascii="宋体" w:hAnsi="宋体" w:eastAsia="宋体" w:cs="宋体"/>
          <w:color w:val="auto"/>
          <w:sz w:val="30"/>
          <w:highlight w:val="none"/>
        </w:rPr>
        <w:sectPr>
          <w:footerReference r:id="rId5" w:type="default"/>
          <w:headerReference r:id="rId4" w:type="even"/>
          <w:footerReference r:id="rId6" w:type="even"/>
          <w:footnotePr>
            <w:numFmt w:val="decimalEnclosedCircleChinese"/>
            <w:numRestart w:val="eachPage"/>
          </w:footnotePr>
          <w:pgSz w:w="16840" w:h="11907" w:orient="landscape"/>
          <w:pgMar w:top="1474" w:right="1474" w:bottom="1474" w:left="1474" w:header="799" w:footer="907" w:gutter="0"/>
          <w:cols w:space="0" w:num="1"/>
          <w:rtlGutter w:val="0"/>
          <w:docGrid w:linePitch="271" w:charSpace="0"/>
        </w:sectPr>
      </w:pPr>
    </w:p>
    <w:p>
      <w:pPr>
        <w:pStyle w:val="4"/>
        <w:numPr>
          <w:ilvl w:val="0"/>
          <w:numId w:val="1"/>
        </w:numPr>
        <w:rPr>
          <w:rFonts w:hint="eastAsia" w:ascii="宋体" w:hAnsi="宋体" w:eastAsia="宋体" w:cs="宋体"/>
          <w:color w:val="auto"/>
          <w:sz w:val="30"/>
          <w:highlight w:val="none"/>
        </w:rPr>
      </w:pPr>
      <w:r>
        <w:rPr>
          <w:rFonts w:hint="eastAsia" w:ascii="宋体" w:hAnsi="宋体" w:eastAsia="宋体" w:cs="宋体"/>
          <w:color w:val="auto"/>
          <w:sz w:val="30"/>
          <w:highlight w:val="none"/>
          <w:lang w:val="en-US"/>
        </w:rPr>
        <w:t xml:space="preserve"> </w:t>
      </w:r>
      <w:bookmarkStart w:id="22" w:name="_Toc10171"/>
      <w:r>
        <w:rPr>
          <w:rFonts w:hint="eastAsia" w:ascii="宋体" w:hAnsi="宋体" w:eastAsia="宋体" w:cs="宋体"/>
          <w:color w:val="auto"/>
          <w:sz w:val="30"/>
          <w:highlight w:val="none"/>
          <w:lang w:val="en-US" w:eastAsia="zh-CN"/>
        </w:rPr>
        <w:t>合同条款</w:t>
      </w:r>
      <w:bookmarkEnd w:id="22"/>
    </w:p>
    <w:p>
      <w:pPr>
        <w:spacing w:before="79" w:line="185" w:lineRule="auto"/>
        <w:ind w:firstLine="495"/>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（注：合同内容必须满足招标文件要求</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合同以实际签订</w:t>
      </w:r>
      <w:r>
        <w:rPr>
          <w:rFonts w:hint="eastAsia" w:ascii="宋体" w:hAnsi="宋体" w:eastAsia="宋体" w:cs="宋体"/>
          <w:color w:val="auto"/>
          <w:spacing w:val="-2"/>
          <w:sz w:val="24"/>
          <w:szCs w:val="24"/>
          <w:highlight w:val="none"/>
          <w:lang w:val="en-US" w:eastAsia="zh-CN"/>
        </w:rPr>
        <w:t>格式</w:t>
      </w:r>
      <w:r>
        <w:rPr>
          <w:rFonts w:hint="eastAsia" w:ascii="宋体" w:hAnsi="宋体" w:eastAsia="宋体" w:cs="宋体"/>
          <w:color w:val="auto"/>
          <w:spacing w:val="-2"/>
          <w:sz w:val="24"/>
          <w:szCs w:val="24"/>
          <w:highlight w:val="none"/>
        </w:rPr>
        <w:t>为准）</w:t>
      </w:r>
    </w:p>
    <w:p>
      <w:pPr>
        <w:spacing w:line="380" w:lineRule="exact"/>
        <w:jc w:val="center"/>
        <w:rPr>
          <w:rFonts w:hint="eastAsia" w:ascii="宋体" w:hAnsi="宋体" w:eastAsia="宋体" w:cs="宋体"/>
          <w:b/>
          <w:color w:val="auto"/>
          <w:sz w:val="24"/>
          <w:szCs w:val="24"/>
          <w:highlight w:val="none"/>
        </w:rPr>
      </w:pPr>
    </w:p>
    <w:p>
      <w:pPr>
        <w:pStyle w:val="2"/>
        <w:spacing w:before="12"/>
        <w:jc w:val="center"/>
        <w:rPr>
          <w:rFonts w:hint="eastAsia" w:ascii="宋体" w:hAnsi="宋体" w:eastAsia="宋体" w:cs="宋体"/>
          <w:b/>
          <w:bCs/>
          <w:color w:val="auto"/>
          <w:sz w:val="24"/>
          <w:szCs w:val="24"/>
          <w:highlight w:val="none"/>
        </w:rPr>
      </w:pPr>
      <w:bookmarkStart w:id="23" w:name="_Toc144974826"/>
      <w:bookmarkStart w:id="24" w:name="_Toc179632785"/>
      <w:bookmarkStart w:id="25" w:name="_Toc152042546"/>
      <w:bookmarkStart w:id="26" w:name="_Toc152045767"/>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合同</w:t>
      </w:r>
      <w:r>
        <w:rPr>
          <w:rFonts w:hint="eastAsia" w:ascii="宋体" w:hAnsi="宋体" w:eastAsia="宋体" w:cs="宋体"/>
          <w:b/>
          <w:bCs/>
          <w:color w:val="auto"/>
          <w:sz w:val="24"/>
          <w:szCs w:val="24"/>
          <w:highlight w:val="none"/>
          <w:lang w:val="en-US" w:eastAsia="zh-CN"/>
        </w:rPr>
        <w:t>条</w:t>
      </w:r>
      <w:r>
        <w:rPr>
          <w:rFonts w:hint="eastAsia" w:ascii="宋体" w:hAnsi="宋体" w:eastAsia="宋体" w:cs="宋体"/>
          <w:b/>
          <w:bCs/>
          <w:color w:val="auto"/>
          <w:sz w:val="24"/>
          <w:szCs w:val="24"/>
          <w:highlight w:val="none"/>
        </w:rPr>
        <w:t>款</w:t>
      </w:r>
    </w:p>
    <w:p>
      <w:pPr>
        <w:spacing w:before="129"/>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1、定义</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本合同条款中的下列术语应解释为：</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合同价：系指根据合同规定，供方（指承包人，余同）在完全履行合同义务后需方应支付给供方的价款。</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货物：系指供方根据合同规定须向需方提供的一切设备、机械、仪表、备件、工具、手册和其他技术资料及其他材料。</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服务：系指根据合同规定供方承担与供货有关的技术支持，如安装、调试、维修、培训和其他类似的义务。</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工程施工：系指供方根据合同规定须向需方（（指发包人，余同））提供的、与货物安装相关的房屋改造、装修、基坑开挖等。</w:t>
      </w:r>
    </w:p>
    <w:p>
      <w:pPr>
        <w:spacing w:before="129"/>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2、技术规格</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供方提供和交付的货物技术规格、工程施工、相关服务和要求应与招标文件规定的相一致。</w:t>
      </w:r>
    </w:p>
    <w:p>
      <w:pPr>
        <w:spacing w:before="173"/>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3、专利权</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供方应保证需方在使用该货物或其任何一部分时，不受第三方提出侵犯其专利权、商标权和工业设计权的诉讼。</w:t>
      </w:r>
    </w:p>
    <w:p>
      <w:pPr>
        <w:spacing w:before="130"/>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4、包装要求</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除合同另有规定外，供方供应的全部货物均应按标准保护措施进行包装。该包装应适应远距离运输、防潮、防震、防锈和防野蛮装卸，确保货物安全无损运抵现场。由于包装不善所引起的货物锈蚀、损坏和损失均由供方承担。</w:t>
      </w:r>
    </w:p>
    <w:p>
      <w:pPr>
        <w:spacing w:before="126"/>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5、装运条件</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供方负责安排设备到施工地点的运输，运输费、装卸费、现场搬运费等都由供方承担。运抵工地现场的设备、零部件等由供方自行保管。</w:t>
      </w:r>
    </w:p>
    <w:p>
      <w:pPr>
        <w:tabs>
          <w:tab w:val="left" w:pos="2040"/>
        </w:tabs>
        <w:spacing w:line="360" w:lineRule="auto"/>
        <w:ind w:firstLine="723"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color w:val="auto"/>
          <w:sz w:val="24"/>
          <w:szCs w:val="24"/>
          <w:highlight w:val="none"/>
        </w:rPr>
        <w:t>6、合同款的支付</w:t>
      </w:r>
    </w:p>
    <w:p>
      <w:pPr>
        <w:tabs>
          <w:tab w:val="left" w:pos="2040"/>
        </w:tabs>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val="en-US" w:eastAsia="zh-CN"/>
        </w:rPr>
        <w:t>供方应按照签订的合同规定交货。交货后供方应向需方提供下列单据：</w:t>
      </w:r>
    </w:p>
    <w:p>
      <w:pPr>
        <w:numPr>
          <w:ilvl w:val="0"/>
          <w:numId w:val="0"/>
        </w:numPr>
        <w:tabs>
          <w:tab w:val="left" w:pos="2040"/>
        </w:tabs>
        <w:spacing w:line="360" w:lineRule="auto"/>
        <w:ind w:firstLine="960" w:firstLineChars="400"/>
        <w:rPr>
          <w:rFonts w:hint="eastAsia" w:ascii="宋体" w:hAnsi="宋体" w:eastAsia="宋体" w:cs="宋体"/>
          <w:b w:val="0"/>
          <w:bCs/>
          <w:color w:val="auto"/>
          <w:sz w:val="24"/>
          <w:szCs w:val="24"/>
          <w:highlight w:val="none"/>
          <w:lang w:val="en-US" w:eastAsia="zh-CN"/>
        </w:rPr>
      </w:pPr>
      <w:r>
        <w:rPr>
          <w:rFonts w:hint="eastAsia"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val="en-US" w:eastAsia="zh-CN"/>
        </w:rPr>
        <w:t>发票原件；</w:t>
      </w:r>
    </w:p>
    <w:p>
      <w:pPr>
        <w:numPr>
          <w:ilvl w:val="0"/>
          <w:numId w:val="0"/>
        </w:numPr>
        <w:tabs>
          <w:tab w:val="left" w:pos="2040"/>
        </w:tabs>
        <w:spacing w:line="360" w:lineRule="auto"/>
        <w:ind w:firstLine="960" w:firstLineChars="400"/>
        <w:rPr>
          <w:rFonts w:hint="eastAsia" w:ascii="宋体" w:hAnsi="宋体" w:eastAsia="宋体" w:cs="宋体"/>
          <w:b w:val="0"/>
          <w:bCs/>
          <w:color w:val="auto"/>
          <w:sz w:val="24"/>
          <w:szCs w:val="24"/>
          <w:highlight w:val="none"/>
          <w:lang w:val="en-US" w:eastAsia="zh-CN"/>
        </w:rPr>
      </w:pPr>
      <w:r>
        <w:rPr>
          <w:rFonts w:hint="eastAsia"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val="en-US" w:eastAsia="zh-CN"/>
        </w:rPr>
        <w:t>制造厂家出具的质量检验合格证书；</w:t>
      </w:r>
    </w:p>
    <w:p>
      <w:pPr>
        <w:numPr>
          <w:ilvl w:val="0"/>
          <w:numId w:val="0"/>
        </w:numPr>
        <w:tabs>
          <w:tab w:val="left" w:pos="2040"/>
        </w:tabs>
        <w:spacing w:line="360" w:lineRule="auto"/>
        <w:ind w:firstLine="960" w:firstLineChars="400"/>
        <w:rPr>
          <w:rFonts w:hint="eastAsia" w:ascii="宋体" w:hAnsi="宋体" w:eastAsia="宋体" w:cs="宋体"/>
          <w:b w:val="0"/>
          <w:bCs/>
          <w:color w:val="auto"/>
          <w:sz w:val="24"/>
          <w:szCs w:val="24"/>
          <w:highlight w:val="none"/>
          <w:lang w:val="en-US" w:eastAsia="zh-CN"/>
        </w:rPr>
      </w:pPr>
      <w:r>
        <w:rPr>
          <w:rFonts w:hint="eastAsia"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val="en-US" w:eastAsia="zh-CN"/>
        </w:rPr>
        <w:t>出厂自检合格报告等。</w:t>
      </w:r>
    </w:p>
    <w:p>
      <w:pPr>
        <w:numPr>
          <w:ilvl w:val="0"/>
          <w:numId w:val="0"/>
        </w:num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val="en-US" w:eastAsia="zh-CN"/>
        </w:rPr>
        <w:t>供方将发票、收款人、开户行、银行账号和经需方、供方、专家共同签字确认合格的验收报告等资料提供给需方，需方按合同规定审核后依据合同规定的付款条件审核拨款。</w:t>
      </w:r>
    </w:p>
    <w:p>
      <w:pPr>
        <w:spacing w:before="129"/>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7、技术资料</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供方应在项目竣工验收合格结束后，向需方最终用户单位移交所有与项目有关的技术资料，如样本、图纸、使用指南、维修指南、加盖供方印章的发票复印件和投标时技术规格响应表等。</w:t>
      </w:r>
    </w:p>
    <w:p>
      <w:pPr>
        <w:spacing w:before="129"/>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8、质量保证</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供方提供的产品应符合国家质量检测标准，保证货物是全新、未使用过的，货物的制造日期和本项目投标日期之间相差不得超过半年。并完全符合合同规定的质量、规格和性能要求的原厂正品。供方应保证其货物在正确安装、使用和保养的条件下，在其使用寿命内应具有满意的性能。在货物最终验收后的免费质量保证期内，供方应对由于设计、工艺或材料的缺陷而发生的任何不足或故障负责，供方负责对产品进行维修与交换。</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（2）整体项目免费质保期要求最低2年（以投标人承诺期限为准）。超出厂家正常保修时间的，中标人需向厂家购买；未在投标报价表中单列其费用的，视为免费提供。</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（3）质保期从验收合格</w:t>
      </w:r>
      <w:r>
        <w:rPr>
          <w:rFonts w:hint="eastAsia" w:cs="宋体"/>
          <w:b w:val="0"/>
          <w:bCs/>
          <w:color w:val="auto"/>
          <w:sz w:val="24"/>
          <w:szCs w:val="24"/>
          <w:highlight w:val="none"/>
          <w:lang w:val="en-US" w:eastAsia="zh-CN"/>
        </w:rPr>
        <w:t>交付使用</w:t>
      </w:r>
      <w:r>
        <w:rPr>
          <w:rFonts w:hint="eastAsia" w:ascii="宋体" w:hAnsi="宋体" w:eastAsia="宋体" w:cs="宋体"/>
          <w:b w:val="0"/>
          <w:bCs/>
          <w:color w:val="auto"/>
          <w:sz w:val="24"/>
          <w:szCs w:val="24"/>
          <w:highlight w:val="none"/>
          <w:lang w:val="en-US" w:eastAsia="zh-CN"/>
        </w:rPr>
        <w:t>后开始计算。质保期内所有设备维护</w:t>
      </w:r>
      <w:r>
        <w:rPr>
          <w:rFonts w:hint="eastAsia" w:cs="宋体"/>
          <w:b w:val="0"/>
          <w:bCs/>
          <w:color w:val="auto"/>
          <w:sz w:val="24"/>
          <w:szCs w:val="24"/>
          <w:highlight w:val="none"/>
          <w:lang w:val="en-US" w:eastAsia="zh-CN"/>
        </w:rPr>
        <w:t>维修</w:t>
      </w:r>
      <w:r>
        <w:rPr>
          <w:rFonts w:hint="eastAsia" w:ascii="宋体" w:hAnsi="宋体" w:eastAsia="宋体" w:cs="宋体"/>
          <w:b w:val="0"/>
          <w:bCs/>
          <w:color w:val="auto"/>
          <w:sz w:val="24"/>
          <w:szCs w:val="24"/>
          <w:highlight w:val="none"/>
          <w:lang w:val="en-US" w:eastAsia="zh-CN"/>
        </w:rPr>
        <w:t>等要求免费上门服务。</w:t>
      </w:r>
    </w:p>
    <w:p>
      <w:pPr>
        <w:spacing w:before="128"/>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9、验收</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（1）项目验收国家有强制性规定的，按国家规定执行，非强制性规定的按招标文件要求执行，验收费用由供方承担，验收报告作为申请付款的凭证之一。</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（2）验收过程中产生纠纷的，由</w:t>
      </w:r>
      <w:r>
        <w:rPr>
          <w:rFonts w:hint="eastAsia" w:ascii="宋体" w:hAnsi="宋体" w:eastAsia="宋体" w:cs="宋体"/>
          <w:b w:val="0"/>
          <w:bCs/>
          <w:color w:val="auto"/>
          <w:sz w:val="24"/>
          <w:szCs w:val="24"/>
          <w:highlight w:val="none"/>
        </w:rPr>
        <w:t>特种设备安全监督管理部门</w:t>
      </w:r>
      <w:r>
        <w:rPr>
          <w:rFonts w:hint="eastAsia" w:ascii="宋体" w:hAnsi="宋体" w:eastAsia="宋体" w:cs="宋体"/>
          <w:b w:val="0"/>
          <w:bCs/>
          <w:color w:val="auto"/>
          <w:sz w:val="24"/>
          <w:szCs w:val="24"/>
          <w:highlight w:val="none"/>
          <w:lang w:val="en-US" w:eastAsia="zh-CN"/>
        </w:rPr>
        <w:t>认定的检测机构检测，如为供方原因造成的，由供方承担检测费用；否则，由需方承担。</w:t>
      </w:r>
    </w:p>
    <w:p>
      <w:pPr>
        <w:tabs>
          <w:tab w:val="left" w:pos="2040"/>
        </w:tabs>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lang w:val="en-US" w:eastAsia="zh-CN"/>
        </w:rPr>
        <w:t>（3）项目验收不合格，由供方返工直至合格，有关返工、再行验收，以及给需方造成的损失等费用由供方承担。连续两次项目验收不合格的，需方可终止合同，另行按规定选择其他供应商采购，由此带来的一切损失由供方承担。</w:t>
      </w:r>
    </w:p>
    <w:p>
      <w:pPr>
        <w:spacing w:before="128"/>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10、售后服务</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（1）质保期从验收合格并交付使用后开始计算，供方</w:t>
      </w:r>
      <w:r>
        <w:rPr>
          <w:rFonts w:hint="eastAsia" w:ascii="宋体" w:hAnsi="宋体" w:eastAsia="宋体" w:cs="宋体"/>
          <w:b w:val="0"/>
          <w:bCs/>
          <w:strike/>
          <w:dstrike w:val="0"/>
          <w:color w:val="auto"/>
          <w:sz w:val="24"/>
          <w:szCs w:val="24"/>
          <w:highlight w:val="none"/>
          <w:lang w:val="en-US" w:eastAsia="zh-CN"/>
        </w:rPr>
        <w:t>应</w:t>
      </w:r>
      <w:r>
        <w:rPr>
          <w:rFonts w:hint="eastAsia" w:ascii="宋体" w:hAnsi="宋体" w:eastAsia="宋体" w:cs="宋体"/>
          <w:b w:val="0"/>
          <w:bCs/>
          <w:color w:val="auto"/>
          <w:sz w:val="24"/>
          <w:szCs w:val="24"/>
          <w:highlight w:val="none"/>
          <w:lang w:val="en-US" w:eastAsia="zh-CN"/>
        </w:rPr>
        <w:t>对所提供的货物提供原厂</w:t>
      </w:r>
      <w:r>
        <w:rPr>
          <w:rFonts w:hint="eastAsia" w:ascii="宋体" w:hAnsi="宋体" w:eastAsia="宋体" w:cs="宋体"/>
          <w:b w:val="0"/>
          <w:bCs/>
          <w:color w:val="auto"/>
          <w:sz w:val="24"/>
          <w:szCs w:val="24"/>
          <w:highlight w:val="none"/>
          <w:u w:val="single"/>
          <w:lang w:val="en-US" w:eastAsia="zh-CN"/>
        </w:rPr>
        <w:t>投标人承诺期限</w:t>
      </w:r>
      <w:r>
        <w:rPr>
          <w:rFonts w:hint="eastAsia"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val="en-US" w:eastAsia="zh-CN"/>
        </w:rPr>
        <w:t>的免费质保服务，所有质保费用均已包含在</w:t>
      </w:r>
      <w:r>
        <w:rPr>
          <w:rFonts w:hint="eastAsia" w:cs="宋体"/>
          <w:b w:val="0"/>
          <w:bCs/>
          <w:strike w:val="0"/>
          <w:dstrike w:val="0"/>
          <w:color w:val="auto"/>
          <w:sz w:val="24"/>
          <w:szCs w:val="24"/>
          <w:highlight w:val="none"/>
          <w:lang w:val="en-US" w:eastAsia="zh-CN"/>
        </w:rPr>
        <w:t>合同价</w:t>
      </w:r>
      <w:r>
        <w:rPr>
          <w:rFonts w:hint="eastAsia" w:ascii="宋体" w:hAnsi="宋体" w:eastAsia="宋体" w:cs="宋体"/>
          <w:b w:val="0"/>
          <w:bCs/>
          <w:strike w:val="0"/>
          <w:color w:val="auto"/>
          <w:sz w:val="24"/>
          <w:szCs w:val="24"/>
          <w:highlight w:val="none"/>
          <w:lang w:val="en-US" w:eastAsia="zh-CN"/>
        </w:rPr>
        <w:t>中</w:t>
      </w:r>
      <w:r>
        <w:rPr>
          <w:rFonts w:hint="eastAsia" w:ascii="宋体" w:hAnsi="宋体" w:eastAsia="宋体" w:cs="宋体"/>
          <w:b w:val="0"/>
          <w:bCs/>
          <w:color w:val="auto"/>
          <w:sz w:val="24"/>
          <w:szCs w:val="24"/>
          <w:highlight w:val="none"/>
          <w:lang w:val="en-US" w:eastAsia="zh-CN"/>
        </w:rPr>
        <w:t>，质保期满后，</w:t>
      </w:r>
      <w:r>
        <w:rPr>
          <w:rFonts w:hint="eastAsia" w:ascii="宋体" w:hAnsi="宋体" w:eastAsia="宋体" w:cs="宋体"/>
          <w:b w:val="0"/>
          <w:bCs/>
          <w:strike/>
          <w:dstrike w:val="0"/>
          <w:color w:val="auto"/>
          <w:sz w:val="24"/>
          <w:szCs w:val="24"/>
          <w:highlight w:val="none"/>
          <w:lang w:val="en-US" w:eastAsia="zh-CN"/>
        </w:rPr>
        <w:t>应</w:t>
      </w:r>
      <w:r>
        <w:rPr>
          <w:rFonts w:hint="eastAsia" w:ascii="宋体" w:hAnsi="宋体" w:eastAsia="宋体" w:cs="宋体"/>
          <w:b w:val="0"/>
          <w:bCs/>
          <w:color w:val="auto"/>
          <w:sz w:val="24"/>
          <w:szCs w:val="24"/>
          <w:highlight w:val="none"/>
          <w:lang w:val="en-US" w:eastAsia="zh-CN"/>
        </w:rPr>
        <w:t>按不高于投标文件中维保优惠报价提供有偿售后服务及按不高于投标文件中主要配件、易损件清单所报价格供应原厂零配件等，并实行终身维护。</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（2）供方须设有24小时维修服务电话，负责解答用户在设备使用中遇到的问题，及时提出解决问题的建议和操作方法。</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（3）售后服务响应时间：</w:t>
      </w:r>
      <w:r>
        <w:rPr>
          <w:rFonts w:hint="eastAsia" w:ascii="宋体" w:hAnsi="宋体" w:eastAsia="宋体" w:cs="宋体"/>
          <w:b w:val="0"/>
          <w:bCs/>
          <w:color w:val="auto"/>
          <w:sz w:val="24"/>
          <w:szCs w:val="24"/>
          <w:highlight w:val="none"/>
        </w:rPr>
        <w:t>售后服务必须是</w:t>
      </w:r>
      <w:r>
        <w:rPr>
          <w:rFonts w:hint="eastAsia" w:ascii="宋体" w:hAnsi="宋体" w:eastAsia="宋体" w:cs="宋体"/>
          <w:b w:val="0"/>
          <w:bCs/>
          <w:color w:val="auto"/>
          <w:sz w:val="24"/>
          <w:szCs w:val="24"/>
          <w:highlight w:val="none"/>
          <w:lang w:eastAsia="zh-CN"/>
        </w:rPr>
        <w:t>生产厂商</w:t>
      </w:r>
      <w:r>
        <w:rPr>
          <w:rFonts w:hint="eastAsia" w:ascii="宋体" w:hAnsi="宋体" w:eastAsia="宋体" w:cs="宋体"/>
          <w:b w:val="0"/>
          <w:bCs/>
          <w:color w:val="auto"/>
          <w:sz w:val="24"/>
          <w:szCs w:val="24"/>
          <w:highlight w:val="none"/>
          <w:lang w:val="en-US" w:eastAsia="zh-CN"/>
        </w:rPr>
        <w:t>原厂</w:t>
      </w:r>
      <w:r>
        <w:rPr>
          <w:rFonts w:hint="eastAsia" w:ascii="宋体" w:hAnsi="宋体" w:eastAsia="宋体" w:cs="宋体"/>
          <w:b w:val="0"/>
          <w:bCs/>
          <w:color w:val="auto"/>
          <w:sz w:val="24"/>
          <w:szCs w:val="24"/>
          <w:highlight w:val="none"/>
        </w:rPr>
        <w:t>维保</w:t>
      </w:r>
      <w:r>
        <w:rPr>
          <w:rFonts w:hint="eastAsia" w:ascii="宋体" w:hAnsi="宋体" w:eastAsia="宋体" w:cs="宋体"/>
          <w:b w:val="0"/>
          <w:bCs/>
          <w:color w:val="auto"/>
          <w:sz w:val="24"/>
          <w:szCs w:val="24"/>
          <w:highlight w:val="none"/>
          <w:lang w:eastAsia="zh-CN"/>
        </w:rPr>
        <w:t>，并按枞阳县市场管理局等有关部门要求</w:t>
      </w:r>
      <w:r>
        <w:rPr>
          <w:rFonts w:hint="eastAsia" w:ascii="宋体" w:hAnsi="宋体" w:eastAsia="宋体" w:cs="宋体"/>
          <w:b w:val="0"/>
          <w:bCs/>
          <w:color w:val="auto"/>
          <w:sz w:val="24"/>
          <w:szCs w:val="24"/>
          <w:highlight w:val="none"/>
          <w:lang w:val="en-US" w:eastAsia="zh-CN"/>
        </w:rPr>
        <w:t>在枞阳县设立维保服务站点</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在质保期内，供方应建立完备的故障响应机制，如果本系统在维保期内运行出现问题或故障，供方应接到报修电话后 30分钟内到达现场进行抢修，一般故障修复时间1小时，重大故障修复时间12小时；否则需方将自行采取必要的措施，由此产生风险和费用应由供方承担。</w:t>
      </w:r>
    </w:p>
    <w:p>
      <w:pPr>
        <w:spacing w:before="125"/>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11、索赔</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如果货物的质量和规格与合同不符，或在质量保证期内证实其货物是有缺陷的，包括潜在缺陷或使用不符合参数要求的，需方应报请当地技术监督局或其他有关部门进行检查，并有权凭质检证书向供方提出索赔。</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（2）售后服务及相关要求未满足招标文件与合同要求的，需方有权向供方提出索赔。</w:t>
      </w:r>
    </w:p>
    <w:p>
      <w:pPr>
        <w:tabs>
          <w:tab w:val="left" w:pos="2040"/>
        </w:tabs>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lang w:val="en-US" w:eastAsia="zh-CN"/>
        </w:rPr>
        <w:t>（3）在合同质量保证期内，如果供方对质量问题负有责任，当需方提出索赔时，供方应按照需方同意的下列一种或多种方式解决索赔事宜：</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A、根据货物的低劣和损坏的程度，以及需方所遭受损失的数额，由供需双方协商降低货物的价格。</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B、供方用符合合同规定要求的新零件、部件或设备来更换有缺陷的部分，供方应承担一切费用和风险并负担需方所遭受的一切直接损失费用。同时，供方应按合同条款第8条规定，对更换件相应延长质量保证期。</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（4）需方发出索赔通知后 20天内，如果供方未作答复，上述索赔将被视为已被供方接受；如供方未能在需方提出索赔通知后 20 天内或需方同意的延长时间内，按照本合同规定的任何一种方法解决索赔事宜，需方将从供方提交的履约保证金中获得赔偿。</w:t>
      </w:r>
    </w:p>
    <w:p>
      <w:pPr>
        <w:spacing w:before="129"/>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12、供方误期赔偿</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供方承担的项目须严格按照招标文件规定的完工日期完工，并经规定的各方验收合格后交付需方使用。供方在履行合同过程中，如果遇到不能按时交货和提供服务的情况，应及时以书面形式将不能按期履行合同的理由、延误的时间通知需方。需方在收到供方通知后，应对情况进行分析、研究，以决定是否修改合同、酌情延长合同的履行时间，或终止合同。</w:t>
      </w:r>
    </w:p>
    <w:p>
      <w:pPr>
        <w:spacing w:before="134"/>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13、不可抗力</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如果双方中任何一方由于战争、地震、洪涝、火灾等不能预见、不能避免的，且不能克服的不可抗力事件影响合同履行时，履行合同的期限应予以延长，延长的期限应相当于事故所影响的时间；如不可抗力事件导致整个全部或部分合同无法履行时，受事件影响的一方可部分或全部免除责任。</w:t>
      </w:r>
    </w:p>
    <w:p>
      <w:pPr>
        <w:spacing w:before="131"/>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14、税费</w:t>
      </w:r>
    </w:p>
    <w:p>
      <w:pPr>
        <w:spacing w:before="194"/>
        <w:ind w:left="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供方的投标报价中应包含国家和需方财务部门规定的应交纳的所有税费。</w:t>
      </w:r>
    </w:p>
    <w:p>
      <w:pPr>
        <w:spacing w:before="174"/>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15、履约保证金</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（1）供方应在领取中标通知书后10日内，按照合同价的10%足额缴纳履约保证金，在设备安装调试完毕，验收合格无质量问题交付使用后无息退还。（特别约定的除外）。</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（2）如供方经证实确实未能履行其合同规定的义务，需方有权要求从履约保证金中取得补偿。</w:t>
      </w:r>
    </w:p>
    <w:p>
      <w:pPr>
        <w:spacing w:before="128"/>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16、需方的责任</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（1)在合同实施期间，需方应指派专人配合供方工作，并为供方履行合同提供必要的场地、资料、人员上的帮助。如因需方的原因致使合同无法如期履行，需方须对因此造成的后果负责；给供方造成损失的， 供方有权要求从需方获得赔偿。</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（2)需方不得强迫供方接受合同以外的无理要求。在此情况下，供方可以拒绝需方的此类要求而不被视为违约。</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（3)在合同实施期间，供需双方可就合同的未尽事宜签订补充协议，但不得签订背离原合同实质内容的协议。</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（4）当供方忠实地履行了合同，向需方提交了付款所必须的凭证和相关文件并经需方审查合格后，需方应按合同规定的条件付款，不得无故拖延。</w:t>
      </w:r>
    </w:p>
    <w:p>
      <w:pPr>
        <w:spacing w:before="129"/>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17、争议解决</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在本合同执行中所发生的一切争端，供需双方应通过友好协商的办法加以解决。如协商不从，则应申请向枞阳县人民法院提起诉讼。</w:t>
      </w:r>
    </w:p>
    <w:p>
      <w:pPr>
        <w:spacing w:before="127"/>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18、转让</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除需方事先书面同意外，供方不得将自己应履行的全部或部分合同转让给他人。</w:t>
      </w:r>
    </w:p>
    <w:p>
      <w:pPr>
        <w:spacing w:before="174"/>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19、合同生效及其它</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（1）本合同一式八份，供、需双方各四份。</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（2）本合同应由供需双方签字、盖章后即开始生效。</w:t>
      </w:r>
    </w:p>
    <w:p>
      <w:pPr>
        <w:spacing w:before="128"/>
        <w:ind w:left="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20、补充条款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color w:val="auto"/>
          <w:sz w:val="24"/>
          <w:szCs w:val="24"/>
          <w:highlight w:val="none"/>
        </w:rPr>
        <w:t>本项目为交钥匙工程,</w:t>
      </w:r>
      <w:r>
        <w:rPr>
          <w:rFonts w:hint="eastAsia" w:ascii="宋体" w:hAnsi="宋体" w:eastAsia="宋体" w:cs="宋体"/>
          <w:color w:val="auto"/>
          <w:sz w:val="24"/>
          <w:szCs w:val="24"/>
          <w:highlight w:val="none"/>
          <w:lang w:eastAsia="zh-CN"/>
        </w:rPr>
        <w:t>合同价</w:t>
      </w:r>
      <w:r>
        <w:rPr>
          <w:rFonts w:hint="eastAsia" w:ascii="宋体" w:hAnsi="宋体" w:eastAsia="宋体" w:cs="宋体"/>
          <w:color w:val="auto"/>
          <w:sz w:val="24"/>
          <w:szCs w:val="24"/>
          <w:highlight w:val="none"/>
        </w:rPr>
        <w:t>应是</w:t>
      </w:r>
      <w:r>
        <w:rPr>
          <w:rFonts w:hint="eastAsia" w:ascii="宋体" w:hAnsi="宋体" w:eastAsia="宋体" w:cs="宋体"/>
          <w:color w:val="auto"/>
          <w:sz w:val="24"/>
          <w:szCs w:val="24"/>
          <w:highlight w:val="none"/>
          <w:lang w:val="en-US" w:eastAsia="zh-CN"/>
        </w:rPr>
        <w:t>电梯采购安装</w:t>
      </w:r>
      <w:r>
        <w:rPr>
          <w:rFonts w:hint="eastAsia" w:ascii="宋体" w:hAnsi="宋体" w:eastAsia="宋体" w:cs="宋体"/>
          <w:color w:val="auto"/>
          <w:sz w:val="24"/>
          <w:szCs w:val="24"/>
          <w:highlight w:val="none"/>
        </w:rPr>
        <w:t>全部工程和设备内容的价格体现。包括供货阶段费用(设备购置、运输、装卸、保险、专利、检测、试装、存放场地、</w:t>
      </w:r>
      <w:r>
        <w:rPr>
          <w:rFonts w:hint="eastAsia" w:ascii="宋体" w:hAnsi="宋体" w:eastAsia="宋体" w:cs="宋体"/>
          <w:color w:val="auto"/>
          <w:sz w:val="24"/>
          <w:szCs w:val="24"/>
          <w:highlight w:val="none"/>
          <w:lang w:val="en-US" w:eastAsia="zh-CN"/>
        </w:rPr>
        <w:t>保管、</w:t>
      </w:r>
      <w:r>
        <w:rPr>
          <w:rFonts w:hint="eastAsia" w:ascii="宋体" w:hAnsi="宋体" w:eastAsia="宋体" w:cs="宋体"/>
          <w:color w:val="auto"/>
          <w:sz w:val="24"/>
          <w:szCs w:val="24"/>
          <w:highlight w:val="none"/>
        </w:rPr>
        <w:t>备品备件费及与供货相关一切费用)、安装阶段费用(设备</w:t>
      </w:r>
      <w:r>
        <w:rPr>
          <w:rFonts w:hint="eastAsia" w:ascii="宋体" w:hAnsi="宋体" w:eastAsia="宋体" w:cs="宋体"/>
          <w:color w:val="auto"/>
          <w:sz w:val="24"/>
          <w:szCs w:val="24"/>
          <w:highlight w:val="none"/>
          <w:lang w:eastAsia="zh-CN"/>
        </w:rPr>
        <w:t>吊运</w:t>
      </w:r>
      <w:r>
        <w:rPr>
          <w:rFonts w:hint="eastAsia" w:ascii="宋体" w:hAnsi="宋体" w:eastAsia="宋体" w:cs="宋体"/>
          <w:color w:val="auto"/>
          <w:sz w:val="24"/>
          <w:szCs w:val="24"/>
          <w:highlight w:val="none"/>
        </w:rPr>
        <w:t>安装、相关附件安装、各项措施费、附属工程费、临时工程费、电梯内装饰</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电梯口装饰费、其他安装费、施工用电、用水费、检测</w:t>
      </w:r>
      <w:r>
        <w:rPr>
          <w:rFonts w:hint="eastAsia" w:ascii="宋体" w:hAnsi="宋体" w:eastAsia="宋体" w:cs="宋体"/>
          <w:color w:val="auto"/>
          <w:sz w:val="24"/>
          <w:szCs w:val="24"/>
          <w:highlight w:val="none"/>
          <w:lang w:eastAsia="zh-CN"/>
        </w:rPr>
        <w:t>费</w:t>
      </w:r>
      <w:r>
        <w:rPr>
          <w:rFonts w:hint="eastAsia" w:ascii="宋体" w:hAnsi="宋体" w:eastAsia="宋体" w:cs="宋体"/>
          <w:color w:val="auto"/>
          <w:sz w:val="24"/>
          <w:szCs w:val="24"/>
          <w:highlight w:val="none"/>
        </w:rPr>
        <w:t>、安全文明施工费、文明创建费、人员办公住宿、 机械用具使用费等与安装有关的一切费用)、移交阶段</w:t>
      </w:r>
      <w:r>
        <w:rPr>
          <w:rFonts w:hint="eastAsia" w:ascii="宋体" w:hAnsi="宋体" w:eastAsia="宋体" w:cs="宋体"/>
          <w:color w:val="auto"/>
          <w:sz w:val="24"/>
          <w:szCs w:val="24"/>
          <w:highlight w:val="none"/>
          <w:lang w:val="en-US" w:eastAsia="zh-CN"/>
        </w:rPr>
        <w:t>及售后质保阶段</w:t>
      </w:r>
      <w:r>
        <w:rPr>
          <w:rFonts w:hint="eastAsia" w:ascii="宋体" w:hAnsi="宋体" w:eastAsia="宋体" w:cs="宋体"/>
          <w:color w:val="auto"/>
          <w:sz w:val="24"/>
          <w:szCs w:val="24"/>
          <w:highlight w:val="none"/>
        </w:rPr>
        <w:t>费用(成品保护、调试、 培训、相关部门检测、相关部门验收及整改、</w:t>
      </w:r>
      <w:r>
        <w:rPr>
          <w:rFonts w:hint="eastAsia" w:ascii="宋体" w:hAnsi="宋体" w:eastAsia="宋体" w:cs="宋体"/>
          <w:color w:val="auto"/>
          <w:sz w:val="24"/>
          <w:szCs w:val="24"/>
          <w:highlight w:val="none"/>
          <w:lang w:eastAsia="zh-CN"/>
        </w:rPr>
        <w:t>质保期</w:t>
      </w:r>
      <w:r>
        <w:rPr>
          <w:rFonts w:hint="eastAsia" w:ascii="宋体" w:hAnsi="宋体" w:eastAsia="宋体" w:cs="宋体"/>
          <w:color w:val="auto"/>
          <w:sz w:val="24"/>
          <w:szCs w:val="24"/>
          <w:highlight w:val="none"/>
        </w:rPr>
        <w:t>维保</w:t>
      </w:r>
      <w:r>
        <w:rPr>
          <w:rFonts w:hint="eastAsia" w:ascii="宋体" w:hAnsi="宋体" w:eastAsia="宋体" w:cs="宋体"/>
          <w:color w:val="auto"/>
          <w:sz w:val="24"/>
          <w:szCs w:val="24"/>
          <w:highlight w:val="none"/>
          <w:lang w:eastAsia="zh-CN"/>
        </w:rPr>
        <w:t>及检测验收</w:t>
      </w:r>
      <w:r>
        <w:rPr>
          <w:rFonts w:hint="eastAsia" w:ascii="宋体" w:hAnsi="宋体" w:eastAsia="宋体" w:cs="宋体"/>
          <w:color w:val="auto"/>
          <w:sz w:val="24"/>
          <w:szCs w:val="24"/>
          <w:highlight w:val="none"/>
        </w:rPr>
        <w:t>、售后服务</w:t>
      </w:r>
      <w:r>
        <w:rPr>
          <w:rFonts w:hint="eastAsia" w:ascii="宋体" w:hAnsi="宋体" w:eastAsia="宋体" w:cs="宋体"/>
          <w:color w:val="auto"/>
          <w:sz w:val="24"/>
          <w:szCs w:val="24"/>
          <w:highlight w:val="none"/>
          <w:lang w:eastAsia="zh-CN"/>
        </w:rPr>
        <w:t>费用、</w:t>
      </w:r>
      <w:r>
        <w:rPr>
          <w:rFonts w:hint="eastAsia" w:ascii="宋体" w:hAnsi="宋体" w:eastAsia="宋体" w:cs="宋体"/>
          <w:color w:val="auto"/>
          <w:sz w:val="24"/>
          <w:szCs w:val="24"/>
          <w:highlight w:val="none"/>
        </w:rPr>
        <w:t>为满足电梯验收</w:t>
      </w:r>
      <w:r>
        <w:rPr>
          <w:rFonts w:hint="eastAsia" w:ascii="宋体" w:hAnsi="宋体" w:eastAsia="宋体" w:cs="宋体"/>
          <w:color w:val="auto"/>
          <w:sz w:val="24"/>
          <w:szCs w:val="24"/>
          <w:highlight w:val="none"/>
          <w:lang w:eastAsia="zh-CN"/>
        </w:rPr>
        <w:t>及使用需求</w:t>
      </w:r>
      <w:r>
        <w:rPr>
          <w:rFonts w:hint="eastAsia" w:ascii="宋体" w:hAnsi="宋体" w:eastAsia="宋体" w:cs="宋体"/>
          <w:color w:val="auto"/>
          <w:sz w:val="24"/>
          <w:szCs w:val="24"/>
          <w:highlight w:val="none"/>
        </w:rPr>
        <w:t>电梯内</w:t>
      </w:r>
      <w:r>
        <w:rPr>
          <w:rFonts w:hint="eastAsia" w:ascii="宋体" w:hAnsi="宋体" w:eastAsia="宋体" w:cs="宋体"/>
          <w:color w:val="auto"/>
          <w:sz w:val="24"/>
          <w:szCs w:val="24"/>
          <w:highlight w:val="none"/>
          <w:lang w:eastAsia="zh-CN"/>
        </w:rPr>
        <w:t>实现监控信号和无线</w:t>
      </w:r>
      <w:r>
        <w:rPr>
          <w:rFonts w:hint="eastAsia" w:ascii="宋体" w:hAnsi="宋体" w:eastAsia="宋体" w:cs="宋体"/>
          <w:color w:val="auto"/>
          <w:sz w:val="24"/>
          <w:szCs w:val="24"/>
          <w:highlight w:val="none"/>
        </w:rPr>
        <w:t>信号覆盖</w:t>
      </w:r>
      <w:r>
        <w:rPr>
          <w:rFonts w:hint="eastAsia" w:ascii="宋体" w:hAnsi="宋体" w:eastAsia="宋体" w:cs="宋体"/>
          <w:color w:val="auto"/>
          <w:sz w:val="24"/>
          <w:szCs w:val="24"/>
          <w:highlight w:val="none"/>
          <w:lang w:eastAsia="zh-CN"/>
        </w:rPr>
        <w:t>费用</w:t>
      </w:r>
      <w:r>
        <w:rPr>
          <w:rFonts w:hint="eastAsia" w:ascii="宋体" w:hAnsi="宋体" w:eastAsia="宋体" w:cs="宋体"/>
          <w:color w:val="auto"/>
          <w:sz w:val="24"/>
          <w:szCs w:val="24"/>
          <w:highlight w:val="none"/>
        </w:rPr>
        <w:t>等与本阶段有关的一切费用)以及风险费用、管理费、利润、税费及招标文件约定需完成的内容包含的</w:t>
      </w:r>
      <w:r>
        <w:rPr>
          <w:rFonts w:hint="eastAsia" w:ascii="宋体" w:hAnsi="宋体" w:eastAsia="宋体" w:cs="宋体"/>
          <w:color w:val="auto"/>
          <w:sz w:val="24"/>
          <w:szCs w:val="24"/>
          <w:highlight w:val="none"/>
          <w:lang w:val="en-US" w:eastAsia="zh-CN"/>
        </w:rPr>
        <w:t>全部</w:t>
      </w:r>
      <w:r>
        <w:rPr>
          <w:rFonts w:hint="eastAsia" w:ascii="宋体" w:hAnsi="宋体" w:eastAsia="宋体" w:cs="宋体"/>
          <w:color w:val="auto"/>
          <w:sz w:val="24"/>
          <w:szCs w:val="24"/>
          <w:highlight w:val="none"/>
        </w:rPr>
        <w:t>费用。</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供方在使用农民工及其它劳务用工，必须严格执行国家及地方政府的有关规定，依法与其签定劳动合同，在收取合同约定工程款后，按规定足额支付劳务工资；因欠付农民工工资而导致农民工聚集、上访等现象，由需方可直接使用供方工程款支付劳务工资，按实际支付额的双倍扣除工程款（不再返还），有权单方解除本合同。劳动合同、劳务工资支付明细表及支付情况需报需方备案。</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（3）供方提交需方的任何文件，需方都认为该文件已经供方内部程序批准；供方提交的文件发生修改的，应及时将最新版本提交工程师。</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（4）供方应始终采取一切合理防范措施来避免在项目人员内部发生违法、动乱或妨碍治安的行为，保持项目的安定，并保护好现场和周围的人员和财产安全。</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（5）参与本项目的供方代表或其雇员不遵守合同规定或一贯行为不轨或不能胜任工作或危害安全，工程师有权要求更换；原人选未经需方许可不得再进入本项目。</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6）供方的投标报价已包含安全生产、文明施工及文明创建的所有费用，需方不因此而支付任何费用。施工过程中，供方必须按安全生产、文明施工及文明创建的要求组织施工，如达不到要求，并拒不整改的，供方须向需方承担合同价2%的违约金。</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7）供方须服从需方的建设工程安全文明检查考核办法、农民工工资管理规定等管理办法和制度。需方有关会议确定的不受欢迎的供方项目管理人员，供方须按需方要求更换，则原人选未经需方许同意不得再进入本项目或参与项目管理；如供方拒不整改，需方有权将供方清退出场，没收全部履约保证金，并追究相关责任。</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（8）需方有权细化本次招标清单项目内容，在实际实施过程中需方有权根据现场情况进行适当调整（增减工程量或项目），供方不得以任何理由或借口来拒绝或索赔。</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（9）供方在公示结束后的次日内办理中标通知书颁发手续，中标通知书发放后 10 日内向需方交纳足额履约保证金，30日内并完成合同签订，否则上述工作每项每延迟一天给予 5 万元违约处罚，直至取消其中标资格。</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（10）因供方原因造成工期延误，逾期竣工违约金的计算方法为：合同工期内延误工期的将扣除全部工期履约保证金；延误工期在5天内的，按 10000元/天进行违约处罚；延误工期在 6-10天内的，按 20000 元/天进行违约处罚；延误工期超过 10 天的，发包人有权终止合同，并按已完工程量的 70%与承包人结算。</w:t>
      </w:r>
    </w:p>
    <w:p>
      <w:pPr>
        <w:pStyle w:val="2"/>
        <w:rPr>
          <w:rFonts w:hint="eastAsia" w:ascii="宋体" w:hAnsi="宋体" w:eastAsia="宋体" w:cs="宋体"/>
          <w:color w:val="auto"/>
          <w:sz w:val="24"/>
          <w:szCs w:val="24"/>
          <w:highlight w:val="none"/>
        </w:rPr>
      </w:pPr>
    </w:p>
    <w:p>
      <w:pPr>
        <w:pStyle w:val="2"/>
        <w:spacing w:before="12"/>
        <w:rPr>
          <w:rFonts w:hint="eastAsia" w:ascii="宋体" w:hAnsi="宋体" w:eastAsia="宋体" w:cs="宋体"/>
          <w:color w:val="auto"/>
          <w:sz w:val="24"/>
          <w:szCs w:val="24"/>
          <w:highlight w:val="none"/>
        </w:rPr>
      </w:pPr>
    </w:p>
    <w:p>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二、合同格式</w:t>
      </w:r>
    </w:p>
    <w:p>
      <w:pPr>
        <w:spacing w:before="125"/>
        <w:ind w:left="720"/>
        <w:rPr>
          <w:rFonts w:hint="eastAsia" w:ascii="宋体" w:hAnsi="宋体" w:eastAsia="宋体" w:cs="宋体"/>
          <w:b/>
          <w:color w:val="auto"/>
          <w:sz w:val="24"/>
          <w:szCs w:val="24"/>
          <w:highlight w:val="none"/>
        </w:rPr>
      </w:pPr>
      <w:bookmarkStart w:id="27" w:name="采购安装合同（参考）"/>
      <w:bookmarkEnd w:id="27"/>
      <w:r>
        <w:rPr>
          <w:rFonts w:hint="eastAsia" w:ascii="宋体" w:hAnsi="宋体" w:eastAsia="宋体" w:cs="宋体"/>
          <w:b/>
          <w:color w:val="auto"/>
          <w:sz w:val="24"/>
          <w:szCs w:val="24"/>
          <w:highlight w:val="none"/>
        </w:rPr>
        <w:t>采购安装合同（参考）</w:t>
      </w:r>
    </w:p>
    <w:p>
      <w:pPr>
        <w:spacing w:before="125"/>
        <w:ind w:left="72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需方（发</w:t>
      </w:r>
      <w:r>
        <w:rPr>
          <w:rFonts w:hint="eastAsia" w:ascii="宋体" w:hAnsi="宋体" w:eastAsia="宋体" w:cs="宋体"/>
          <w:b w:val="0"/>
          <w:bCs/>
          <w:color w:val="auto"/>
          <w:sz w:val="24"/>
          <w:szCs w:val="24"/>
          <w:highlight w:val="none"/>
          <w:lang w:val="en-US" w:eastAsia="zh-CN"/>
        </w:rPr>
        <w:t>包</w:t>
      </w:r>
      <w:r>
        <w:rPr>
          <w:rFonts w:hint="eastAsia" w:ascii="宋体" w:hAnsi="宋体" w:eastAsia="宋体" w:cs="宋体"/>
          <w:b w:val="0"/>
          <w:bCs/>
          <w:color w:val="auto"/>
          <w:sz w:val="24"/>
          <w:szCs w:val="24"/>
          <w:highlight w:val="none"/>
          <w:lang w:eastAsia="zh-CN"/>
        </w:rPr>
        <w:t>人</w:t>
      </w:r>
      <w:r>
        <w:rPr>
          <w:rFonts w:hint="eastAsia" w:ascii="宋体" w:hAnsi="宋体" w:eastAsia="宋体" w:cs="宋体"/>
          <w:b w:val="0"/>
          <w:bCs/>
          <w:color w:val="auto"/>
          <w:sz w:val="24"/>
          <w:szCs w:val="24"/>
          <w:highlight w:val="none"/>
        </w:rPr>
        <w:t xml:space="preserve">）： </w:t>
      </w:r>
    </w:p>
    <w:p>
      <w:pPr>
        <w:spacing w:before="125"/>
        <w:ind w:left="72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供方（承包人）：</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为了保护供需双方合法权益，根据《中华人民共和国民法典》、相关部门的有关规定及招标文件（项目编号：）和供方的投标文件签定本合同，并共同遵守。</w:t>
      </w:r>
    </w:p>
    <w:tbl>
      <w:tblPr>
        <w:tblStyle w:val="42"/>
        <w:tblW w:w="89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916"/>
        <w:gridCol w:w="1111"/>
        <w:gridCol w:w="1547"/>
        <w:gridCol w:w="1024"/>
        <w:gridCol w:w="1010"/>
        <w:gridCol w:w="1025"/>
        <w:gridCol w:w="161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710" w:type="dxa"/>
            <w:vAlign w:val="top"/>
          </w:tcPr>
          <w:p>
            <w:pPr>
              <w:spacing w:before="180" w:line="186" w:lineRule="auto"/>
              <w:ind w:firstLine="20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序号</w:t>
            </w:r>
          </w:p>
        </w:tc>
        <w:tc>
          <w:tcPr>
            <w:tcW w:w="916" w:type="dxa"/>
            <w:vAlign w:val="top"/>
          </w:tcPr>
          <w:p>
            <w:pPr>
              <w:spacing w:before="180" w:line="186" w:lineRule="auto"/>
              <w:ind w:firstLine="30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建筑</w:t>
            </w:r>
          </w:p>
        </w:tc>
        <w:tc>
          <w:tcPr>
            <w:tcW w:w="1111" w:type="dxa"/>
            <w:vAlign w:val="top"/>
          </w:tcPr>
          <w:p>
            <w:pPr>
              <w:spacing w:before="180" w:line="186" w:lineRule="auto"/>
              <w:ind w:firstLine="21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电梯类型</w:t>
            </w:r>
          </w:p>
        </w:tc>
        <w:tc>
          <w:tcPr>
            <w:tcW w:w="1547" w:type="dxa"/>
            <w:vAlign w:val="top"/>
          </w:tcPr>
          <w:p>
            <w:pPr>
              <w:spacing w:before="137" w:line="186" w:lineRule="auto"/>
              <w:ind w:firstLine="35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规格参数</w:t>
            </w:r>
          </w:p>
        </w:tc>
        <w:tc>
          <w:tcPr>
            <w:tcW w:w="1024" w:type="dxa"/>
            <w:vAlign w:val="top"/>
          </w:tcPr>
          <w:p>
            <w:pPr>
              <w:spacing w:before="148" w:line="185" w:lineRule="auto"/>
              <w:ind w:firstLine="2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单位</w:t>
            </w:r>
          </w:p>
        </w:tc>
        <w:tc>
          <w:tcPr>
            <w:tcW w:w="1010" w:type="dxa"/>
            <w:vAlign w:val="top"/>
          </w:tcPr>
          <w:p>
            <w:pPr>
              <w:spacing w:before="148" w:line="185"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数量</w:t>
            </w:r>
          </w:p>
        </w:tc>
        <w:tc>
          <w:tcPr>
            <w:tcW w:w="1025" w:type="dxa"/>
            <w:vAlign w:val="top"/>
          </w:tcPr>
          <w:p>
            <w:pPr>
              <w:spacing w:before="148" w:line="185" w:lineRule="auto"/>
              <w:ind w:firstLine="15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单价</w:t>
            </w:r>
          </w:p>
        </w:tc>
        <w:tc>
          <w:tcPr>
            <w:tcW w:w="1617" w:type="dxa"/>
            <w:vAlign w:val="top"/>
          </w:tcPr>
          <w:p>
            <w:pPr>
              <w:spacing w:before="148" w:line="185" w:lineRule="auto"/>
              <w:ind w:firstLine="1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8960" w:type="dxa"/>
            <w:gridSpan w:val="8"/>
            <w:vAlign w:val="top"/>
          </w:tcPr>
          <w:p>
            <w:pPr>
              <w:spacing w:before="141" w:line="185" w:lineRule="auto"/>
              <w:ind w:firstLine="2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2"/>
                <w:sz w:val="24"/>
                <w:szCs w:val="24"/>
                <w:highlight w:val="none"/>
              </w:rPr>
              <w:t>一、电梯费用</w:t>
            </w:r>
            <w:r>
              <w:rPr>
                <w:rFonts w:hint="eastAsia" w:ascii="宋体" w:hAnsi="宋体" w:eastAsia="宋体" w:cs="宋体"/>
                <w:color w:val="auto"/>
                <w:spacing w:val="-2"/>
                <w:sz w:val="24"/>
                <w:szCs w:val="24"/>
                <w:highlight w:val="none"/>
                <w:lang w:val="en-US" w:eastAsia="zh-CN"/>
              </w:rPr>
              <w:t>(设备）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 w:hRule="atLeast"/>
        </w:trPr>
        <w:tc>
          <w:tcPr>
            <w:tcW w:w="710" w:type="dxa"/>
            <w:vAlign w:val="top"/>
          </w:tcPr>
          <w:p>
            <w:pPr>
              <w:spacing w:before="293" w:line="180" w:lineRule="auto"/>
              <w:ind w:firstLine="371"/>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916" w:type="dxa"/>
            <w:vAlign w:val="top"/>
          </w:tcPr>
          <w:p>
            <w:pPr>
              <w:spacing w:before="188" w:line="186" w:lineRule="auto"/>
              <w:ind w:firstLine="272"/>
              <w:rPr>
                <w:rFonts w:hint="eastAsia" w:ascii="宋体" w:hAnsi="宋体" w:eastAsia="宋体" w:cs="宋体"/>
                <w:color w:val="auto"/>
                <w:sz w:val="21"/>
                <w:szCs w:val="21"/>
                <w:highlight w:val="none"/>
              </w:rPr>
            </w:pPr>
          </w:p>
        </w:tc>
        <w:tc>
          <w:tcPr>
            <w:tcW w:w="1111" w:type="dxa"/>
            <w:vAlign w:val="top"/>
          </w:tcPr>
          <w:p>
            <w:pPr>
              <w:spacing w:before="31" w:line="276" w:lineRule="auto"/>
              <w:ind w:left="197" w:right="133" w:hanging="59"/>
              <w:rPr>
                <w:rFonts w:hint="eastAsia" w:ascii="宋体" w:hAnsi="宋体" w:eastAsia="宋体" w:cs="宋体"/>
                <w:color w:val="auto"/>
                <w:sz w:val="21"/>
                <w:szCs w:val="21"/>
                <w:highlight w:val="none"/>
              </w:rPr>
            </w:pPr>
          </w:p>
        </w:tc>
        <w:tc>
          <w:tcPr>
            <w:tcW w:w="1547" w:type="dxa"/>
            <w:vAlign w:val="top"/>
          </w:tcPr>
          <w:p>
            <w:pPr>
              <w:rPr>
                <w:rFonts w:hint="eastAsia" w:ascii="宋体" w:hAnsi="宋体" w:eastAsia="宋体" w:cs="宋体"/>
                <w:color w:val="auto"/>
                <w:sz w:val="21"/>
                <w:highlight w:val="none"/>
              </w:rPr>
            </w:pPr>
          </w:p>
        </w:tc>
        <w:tc>
          <w:tcPr>
            <w:tcW w:w="1024" w:type="dxa"/>
            <w:vAlign w:val="top"/>
          </w:tcPr>
          <w:p>
            <w:pPr>
              <w:spacing w:before="258" w:line="186" w:lineRule="auto"/>
              <w:ind w:firstLine="478"/>
              <w:rPr>
                <w:rFonts w:hint="eastAsia" w:ascii="宋体" w:hAnsi="宋体" w:eastAsia="宋体" w:cs="宋体"/>
                <w:color w:val="auto"/>
                <w:sz w:val="21"/>
                <w:szCs w:val="21"/>
                <w:highlight w:val="none"/>
              </w:rPr>
            </w:pPr>
          </w:p>
        </w:tc>
        <w:tc>
          <w:tcPr>
            <w:tcW w:w="1010" w:type="dxa"/>
            <w:vAlign w:val="top"/>
          </w:tcPr>
          <w:p>
            <w:pPr>
              <w:spacing w:before="294" w:line="180" w:lineRule="auto"/>
              <w:ind w:firstLine="403"/>
              <w:rPr>
                <w:rFonts w:hint="eastAsia" w:ascii="宋体" w:hAnsi="宋体" w:eastAsia="宋体" w:cs="宋体"/>
                <w:color w:val="auto"/>
                <w:sz w:val="21"/>
                <w:szCs w:val="21"/>
                <w:highlight w:val="none"/>
              </w:rPr>
            </w:pPr>
          </w:p>
        </w:tc>
        <w:tc>
          <w:tcPr>
            <w:tcW w:w="1025" w:type="dxa"/>
            <w:vAlign w:val="top"/>
          </w:tcPr>
          <w:p>
            <w:pPr>
              <w:rPr>
                <w:rFonts w:hint="eastAsia" w:ascii="宋体" w:hAnsi="宋体" w:eastAsia="宋体" w:cs="宋体"/>
                <w:color w:val="auto"/>
                <w:sz w:val="21"/>
                <w:highlight w:val="none"/>
              </w:rPr>
            </w:pPr>
          </w:p>
        </w:tc>
        <w:tc>
          <w:tcPr>
            <w:tcW w:w="1617" w:type="dxa"/>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710" w:type="dxa"/>
            <w:vAlign w:val="top"/>
          </w:tcPr>
          <w:p>
            <w:pPr>
              <w:spacing w:before="292" w:line="180" w:lineRule="auto"/>
              <w:ind w:firstLine="358"/>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916" w:type="dxa"/>
            <w:vAlign w:val="top"/>
          </w:tcPr>
          <w:p>
            <w:pPr>
              <w:spacing w:before="187" w:line="186" w:lineRule="auto"/>
              <w:ind w:firstLine="272"/>
              <w:rPr>
                <w:rFonts w:hint="eastAsia" w:ascii="宋体" w:hAnsi="宋体" w:eastAsia="宋体" w:cs="宋体"/>
                <w:color w:val="auto"/>
                <w:sz w:val="21"/>
                <w:szCs w:val="21"/>
                <w:highlight w:val="none"/>
              </w:rPr>
            </w:pPr>
          </w:p>
        </w:tc>
        <w:tc>
          <w:tcPr>
            <w:tcW w:w="1111" w:type="dxa"/>
            <w:vAlign w:val="top"/>
          </w:tcPr>
          <w:p>
            <w:pPr>
              <w:spacing w:before="100" w:line="186" w:lineRule="auto"/>
              <w:ind w:firstLine="85"/>
              <w:rPr>
                <w:rFonts w:hint="eastAsia" w:ascii="宋体" w:hAnsi="宋体" w:eastAsia="宋体" w:cs="宋体"/>
                <w:color w:val="auto"/>
                <w:sz w:val="21"/>
                <w:szCs w:val="21"/>
                <w:highlight w:val="none"/>
              </w:rPr>
            </w:pPr>
          </w:p>
        </w:tc>
        <w:tc>
          <w:tcPr>
            <w:tcW w:w="1547" w:type="dxa"/>
            <w:vAlign w:val="top"/>
          </w:tcPr>
          <w:p>
            <w:pPr>
              <w:rPr>
                <w:rFonts w:hint="eastAsia" w:ascii="宋体" w:hAnsi="宋体" w:eastAsia="宋体" w:cs="宋体"/>
                <w:color w:val="auto"/>
                <w:sz w:val="21"/>
                <w:highlight w:val="none"/>
              </w:rPr>
            </w:pPr>
          </w:p>
        </w:tc>
        <w:tc>
          <w:tcPr>
            <w:tcW w:w="1024" w:type="dxa"/>
            <w:vAlign w:val="top"/>
          </w:tcPr>
          <w:p>
            <w:pPr>
              <w:spacing w:before="256" w:line="186" w:lineRule="auto"/>
              <w:ind w:firstLine="478"/>
              <w:rPr>
                <w:rFonts w:hint="eastAsia" w:ascii="宋体" w:hAnsi="宋体" w:eastAsia="宋体" w:cs="宋体"/>
                <w:color w:val="auto"/>
                <w:sz w:val="21"/>
                <w:szCs w:val="21"/>
                <w:highlight w:val="none"/>
              </w:rPr>
            </w:pPr>
          </w:p>
        </w:tc>
        <w:tc>
          <w:tcPr>
            <w:tcW w:w="1010" w:type="dxa"/>
            <w:vAlign w:val="top"/>
          </w:tcPr>
          <w:p>
            <w:pPr>
              <w:spacing w:before="291" w:line="180" w:lineRule="auto"/>
              <w:ind w:firstLine="416"/>
              <w:rPr>
                <w:rFonts w:hint="eastAsia" w:ascii="宋体" w:hAnsi="宋体" w:eastAsia="宋体" w:cs="宋体"/>
                <w:color w:val="auto"/>
                <w:sz w:val="21"/>
                <w:szCs w:val="21"/>
                <w:highlight w:val="none"/>
              </w:rPr>
            </w:pPr>
          </w:p>
        </w:tc>
        <w:tc>
          <w:tcPr>
            <w:tcW w:w="1025" w:type="dxa"/>
            <w:vAlign w:val="top"/>
          </w:tcPr>
          <w:p>
            <w:pPr>
              <w:rPr>
                <w:rFonts w:hint="eastAsia" w:ascii="宋体" w:hAnsi="宋体" w:eastAsia="宋体" w:cs="宋体"/>
                <w:color w:val="auto"/>
                <w:sz w:val="21"/>
                <w:highlight w:val="none"/>
              </w:rPr>
            </w:pPr>
          </w:p>
        </w:tc>
        <w:tc>
          <w:tcPr>
            <w:tcW w:w="1617" w:type="dxa"/>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 w:hRule="atLeast"/>
        </w:trPr>
        <w:tc>
          <w:tcPr>
            <w:tcW w:w="710" w:type="dxa"/>
            <w:vAlign w:val="top"/>
          </w:tcPr>
          <w:p>
            <w:pPr>
              <w:spacing w:before="296" w:line="18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916" w:type="dxa"/>
            <w:vAlign w:val="top"/>
          </w:tcPr>
          <w:p>
            <w:pPr>
              <w:spacing w:before="190" w:line="186" w:lineRule="auto"/>
              <w:ind w:firstLine="270"/>
              <w:rPr>
                <w:rFonts w:hint="eastAsia" w:ascii="宋体" w:hAnsi="宋体" w:eastAsia="宋体" w:cs="宋体"/>
                <w:color w:val="auto"/>
                <w:sz w:val="21"/>
                <w:szCs w:val="21"/>
                <w:highlight w:val="none"/>
              </w:rPr>
            </w:pPr>
          </w:p>
        </w:tc>
        <w:tc>
          <w:tcPr>
            <w:tcW w:w="1111" w:type="dxa"/>
            <w:vAlign w:val="top"/>
          </w:tcPr>
          <w:p>
            <w:pPr>
              <w:spacing w:before="33" w:line="276" w:lineRule="auto"/>
              <w:ind w:left="197" w:right="133" w:hanging="59"/>
              <w:rPr>
                <w:rFonts w:hint="eastAsia" w:ascii="宋体" w:hAnsi="宋体" w:eastAsia="宋体" w:cs="宋体"/>
                <w:color w:val="auto"/>
                <w:sz w:val="21"/>
                <w:szCs w:val="21"/>
                <w:highlight w:val="none"/>
              </w:rPr>
            </w:pPr>
          </w:p>
        </w:tc>
        <w:tc>
          <w:tcPr>
            <w:tcW w:w="1547" w:type="dxa"/>
            <w:vAlign w:val="top"/>
          </w:tcPr>
          <w:p>
            <w:pPr>
              <w:rPr>
                <w:rFonts w:hint="eastAsia" w:ascii="宋体" w:hAnsi="宋体" w:eastAsia="宋体" w:cs="宋体"/>
                <w:color w:val="auto"/>
                <w:sz w:val="21"/>
                <w:highlight w:val="none"/>
              </w:rPr>
            </w:pPr>
          </w:p>
        </w:tc>
        <w:tc>
          <w:tcPr>
            <w:tcW w:w="1024" w:type="dxa"/>
            <w:vAlign w:val="top"/>
          </w:tcPr>
          <w:p>
            <w:pPr>
              <w:spacing w:before="259" w:line="186" w:lineRule="auto"/>
              <w:ind w:firstLine="478"/>
              <w:rPr>
                <w:rFonts w:hint="eastAsia" w:ascii="宋体" w:hAnsi="宋体" w:eastAsia="宋体" w:cs="宋体"/>
                <w:color w:val="auto"/>
                <w:sz w:val="21"/>
                <w:szCs w:val="21"/>
                <w:highlight w:val="none"/>
              </w:rPr>
            </w:pPr>
          </w:p>
        </w:tc>
        <w:tc>
          <w:tcPr>
            <w:tcW w:w="1010" w:type="dxa"/>
            <w:vAlign w:val="top"/>
          </w:tcPr>
          <w:p>
            <w:pPr>
              <w:spacing w:before="296" w:line="180" w:lineRule="auto"/>
              <w:ind w:firstLine="403"/>
              <w:rPr>
                <w:rFonts w:hint="eastAsia" w:ascii="宋体" w:hAnsi="宋体" w:eastAsia="宋体" w:cs="宋体"/>
                <w:color w:val="auto"/>
                <w:sz w:val="21"/>
                <w:szCs w:val="21"/>
                <w:highlight w:val="none"/>
              </w:rPr>
            </w:pPr>
          </w:p>
        </w:tc>
        <w:tc>
          <w:tcPr>
            <w:tcW w:w="1025" w:type="dxa"/>
            <w:vAlign w:val="top"/>
          </w:tcPr>
          <w:p>
            <w:pPr>
              <w:rPr>
                <w:rFonts w:hint="eastAsia" w:ascii="宋体" w:hAnsi="宋体" w:eastAsia="宋体" w:cs="宋体"/>
                <w:color w:val="auto"/>
                <w:sz w:val="21"/>
                <w:highlight w:val="none"/>
              </w:rPr>
            </w:pPr>
          </w:p>
        </w:tc>
        <w:tc>
          <w:tcPr>
            <w:tcW w:w="1617" w:type="dxa"/>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960" w:type="dxa"/>
            <w:gridSpan w:val="8"/>
            <w:vAlign w:val="top"/>
          </w:tcPr>
          <w:p>
            <w:pPr>
              <w:spacing w:before="14" w:line="192" w:lineRule="auto"/>
              <w:ind w:firstLine="12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二、安装费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710" w:type="dxa"/>
            <w:vAlign w:val="top"/>
          </w:tcPr>
          <w:p>
            <w:pPr>
              <w:spacing w:before="296" w:line="180" w:lineRule="auto"/>
              <w:ind w:firstLine="37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16" w:type="dxa"/>
            <w:vAlign w:val="top"/>
          </w:tcPr>
          <w:p>
            <w:pPr>
              <w:spacing w:before="189" w:line="186" w:lineRule="auto"/>
              <w:ind w:firstLine="272"/>
              <w:rPr>
                <w:rFonts w:hint="eastAsia" w:ascii="宋体" w:hAnsi="宋体" w:eastAsia="宋体" w:cs="宋体"/>
                <w:color w:val="auto"/>
                <w:sz w:val="21"/>
                <w:szCs w:val="21"/>
                <w:highlight w:val="none"/>
              </w:rPr>
            </w:pPr>
          </w:p>
        </w:tc>
        <w:tc>
          <w:tcPr>
            <w:tcW w:w="1111" w:type="dxa"/>
            <w:vAlign w:val="top"/>
          </w:tcPr>
          <w:p>
            <w:pPr>
              <w:spacing w:before="34" w:line="276" w:lineRule="auto"/>
              <w:ind w:left="197" w:right="133" w:hanging="59"/>
              <w:rPr>
                <w:rFonts w:hint="eastAsia" w:ascii="宋体" w:hAnsi="宋体" w:eastAsia="宋体" w:cs="宋体"/>
                <w:color w:val="auto"/>
                <w:sz w:val="21"/>
                <w:szCs w:val="21"/>
                <w:highlight w:val="none"/>
              </w:rPr>
            </w:pPr>
          </w:p>
        </w:tc>
        <w:tc>
          <w:tcPr>
            <w:tcW w:w="1547" w:type="dxa"/>
            <w:vAlign w:val="top"/>
          </w:tcPr>
          <w:p>
            <w:pPr>
              <w:rPr>
                <w:rFonts w:hint="eastAsia" w:ascii="宋体" w:hAnsi="宋体" w:eastAsia="宋体" w:cs="宋体"/>
                <w:color w:val="auto"/>
                <w:sz w:val="21"/>
                <w:highlight w:val="none"/>
              </w:rPr>
            </w:pPr>
          </w:p>
        </w:tc>
        <w:tc>
          <w:tcPr>
            <w:tcW w:w="1024" w:type="dxa"/>
            <w:vAlign w:val="top"/>
          </w:tcPr>
          <w:p>
            <w:pPr>
              <w:spacing w:before="261" w:line="186" w:lineRule="auto"/>
              <w:ind w:firstLine="478"/>
              <w:rPr>
                <w:rFonts w:hint="eastAsia" w:ascii="宋体" w:hAnsi="宋体" w:eastAsia="宋体" w:cs="宋体"/>
                <w:color w:val="auto"/>
                <w:sz w:val="21"/>
                <w:szCs w:val="21"/>
                <w:highlight w:val="none"/>
              </w:rPr>
            </w:pPr>
          </w:p>
        </w:tc>
        <w:tc>
          <w:tcPr>
            <w:tcW w:w="1010" w:type="dxa"/>
            <w:vAlign w:val="top"/>
          </w:tcPr>
          <w:p>
            <w:pPr>
              <w:spacing w:before="297" w:line="180" w:lineRule="auto"/>
              <w:ind w:firstLine="403"/>
              <w:rPr>
                <w:rFonts w:hint="eastAsia" w:ascii="宋体" w:hAnsi="宋体" w:eastAsia="宋体" w:cs="宋体"/>
                <w:color w:val="auto"/>
                <w:sz w:val="21"/>
                <w:szCs w:val="21"/>
                <w:highlight w:val="none"/>
              </w:rPr>
            </w:pPr>
          </w:p>
        </w:tc>
        <w:tc>
          <w:tcPr>
            <w:tcW w:w="1025" w:type="dxa"/>
            <w:vAlign w:val="top"/>
          </w:tcPr>
          <w:p>
            <w:pPr>
              <w:rPr>
                <w:rFonts w:hint="eastAsia" w:ascii="宋体" w:hAnsi="宋体" w:eastAsia="宋体" w:cs="宋体"/>
                <w:color w:val="auto"/>
                <w:sz w:val="21"/>
                <w:highlight w:val="none"/>
              </w:rPr>
            </w:pPr>
          </w:p>
        </w:tc>
        <w:tc>
          <w:tcPr>
            <w:tcW w:w="1617" w:type="dxa"/>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 w:hRule="atLeast"/>
        </w:trPr>
        <w:tc>
          <w:tcPr>
            <w:tcW w:w="710" w:type="dxa"/>
            <w:vAlign w:val="top"/>
          </w:tcPr>
          <w:p>
            <w:pPr>
              <w:spacing w:before="297" w:line="180" w:lineRule="auto"/>
              <w:ind w:firstLine="36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c>
          <w:tcPr>
            <w:tcW w:w="916" w:type="dxa"/>
            <w:vAlign w:val="top"/>
          </w:tcPr>
          <w:p>
            <w:pPr>
              <w:spacing w:before="191" w:line="186" w:lineRule="auto"/>
              <w:ind w:firstLine="272"/>
              <w:rPr>
                <w:rFonts w:hint="eastAsia" w:ascii="宋体" w:hAnsi="宋体" w:eastAsia="宋体" w:cs="宋体"/>
                <w:color w:val="auto"/>
                <w:sz w:val="21"/>
                <w:szCs w:val="21"/>
                <w:highlight w:val="none"/>
              </w:rPr>
            </w:pPr>
          </w:p>
        </w:tc>
        <w:tc>
          <w:tcPr>
            <w:tcW w:w="1111" w:type="dxa"/>
            <w:vAlign w:val="top"/>
          </w:tcPr>
          <w:p>
            <w:pPr>
              <w:spacing w:before="100" w:line="186" w:lineRule="auto"/>
              <w:ind w:firstLine="85"/>
              <w:rPr>
                <w:rFonts w:hint="eastAsia" w:ascii="宋体" w:hAnsi="宋体" w:eastAsia="宋体" w:cs="宋体"/>
                <w:color w:val="auto"/>
                <w:sz w:val="21"/>
                <w:szCs w:val="21"/>
                <w:highlight w:val="none"/>
              </w:rPr>
            </w:pPr>
          </w:p>
        </w:tc>
        <w:tc>
          <w:tcPr>
            <w:tcW w:w="1547" w:type="dxa"/>
            <w:vAlign w:val="top"/>
          </w:tcPr>
          <w:p>
            <w:pPr>
              <w:rPr>
                <w:rFonts w:hint="eastAsia" w:ascii="宋体" w:hAnsi="宋体" w:eastAsia="宋体" w:cs="宋体"/>
                <w:color w:val="auto"/>
                <w:sz w:val="21"/>
                <w:highlight w:val="none"/>
              </w:rPr>
            </w:pPr>
          </w:p>
        </w:tc>
        <w:tc>
          <w:tcPr>
            <w:tcW w:w="1024" w:type="dxa"/>
            <w:vAlign w:val="top"/>
          </w:tcPr>
          <w:p>
            <w:pPr>
              <w:spacing w:before="261" w:line="186" w:lineRule="auto"/>
              <w:ind w:firstLine="478"/>
              <w:rPr>
                <w:rFonts w:hint="eastAsia" w:ascii="宋体" w:hAnsi="宋体" w:eastAsia="宋体" w:cs="宋体"/>
                <w:color w:val="auto"/>
                <w:sz w:val="21"/>
                <w:szCs w:val="21"/>
                <w:highlight w:val="none"/>
              </w:rPr>
            </w:pPr>
          </w:p>
        </w:tc>
        <w:tc>
          <w:tcPr>
            <w:tcW w:w="1010" w:type="dxa"/>
            <w:vAlign w:val="top"/>
          </w:tcPr>
          <w:p>
            <w:pPr>
              <w:spacing w:before="296" w:line="180" w:lineRule="auto"/>
              <w:ind w:firstLine="416"/>
              <w:rPr>
                <w:rFonts w:hint="eastAsia" w:ascii="宋体" w:hAnsi="宋体" w:eastAsia="宋体" w:cs="宋体"/>
                <w:color w:val="auto"/>
                <w:sz w:val="21"/>
                <w:szCs w:val="21"/>
                <w:highlight w:val="none"/>
              </w:rPr>
            </w:pPr>
          </w:p>
        </w:tc>
        <w:tc>
          <w:tcPr>
            <w:tcW w:w="1025" w:type="dxa"/>
            <w:vAlign w:val="top"/>
          </w:tcPr>
          <w:p>
            <w:pPr>
              <w:rPr>
                <w:rFonts w:hint="eastAsia" w:ascii="宋体" w:hAnsi="宋体" w:eastAsia="宋体" w:cs="宋体"/>
                <w:color w:val="auto"/>
                <w:sz w:val="21"/>
                <w:highlight w:val="none"/>
              </w:rPr>
            </w:pPr>
          </w:p>
        </w:tc>
        <w:tc>
          <w:tcPr>
            <w:tcW w:w="1617" w:type="dxa"/>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710" w:type="dxa"/>
            <w:vAlign w:val="top"/>
          </w:tcPr>
          <w:p>
            <w:pPr>
              <w:spacing w:before="298" w:line="1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p>
        </w:tc>
        <w:tc>
          <w:tcPr>
            <w:tcW w:w="916" w:type="dxa"/>
            <w:vAlign w:val="top"/>
          </w:tcPr>
          <w:p>
            <w:pPr>
              <w:spacing w:before="190" w:line="186" w:lineRule="auto"/>
              <w:ind w:firstLine="270"/>
              <w:rPr>
                <w:rFonts w:hint="eastAsia" w:ascii="宋体" w:hAnsi="宋体" w:eastAsia="宋体" w:cs="宋体"/>
                <w:color w:val="auto"/>
                <w:sz w:val="21"/>
                <w:szCs w:val="21"/>
                <w:highlight w:val="none"/>
              </w:rPr>
            </w:pPr>
          </w:p>
        </w:tc>
        <w:tc>
          <w:tcPr>
            <w:tcW w:w="1111" w:type="dxa"/>
            <w:vAlign w:val="top"/>
          </w:tcPr>
          <w:p>
            <w:pPr>
              <w:spacing w:before="35" w:line="276" w:lineRule="auto"/>
              <w:ind w:left="197" w:right="133" w:hanging="59"/>
              <w:rPr>
                <w:rFonts w:hint="eastAsia" w:ascii="宋体" w:hAnsi="宋体" w:eastAsia="宋体" w:cs="宋体"/>
                <w:color w:val="auto"/>
                <w:sz w:val="21"/>
                <w:szCs w:val="21"/>
                <w:highlight w:val="none"/>
              </w:rPr>
            </w:pPr>
          </w:p>
        </w:tc>
        <w:tc>
          <w:tcPr>
            <w:tcW w:w="1547" w:type="dxa"/>
            <w:vAlign w:val="top"/>
          </w:tcPr>
          <w:p>
            <w:pPr>
              <w:rPr>
                <w:rFonts w:hint="eastAsia" w:ascii="宋体" w:hAnsi="宋体" w:eastAsia="宋体" w:cs="宋体"/>
                <w:color w:val="auto"/>
                <w:sz w:val="21"/>
                <w:highlight w:val="none"/>
              </w:rPr>
            </w:pPr>
          </w:p>
        </w:tc>
        <w:tc>
          <w:tcPr>
            <w:tcW w:w="1024" w:type="dxa"/>
            <w:vAlign w:val="top"/>
          </w:tcPr>
          <w:p>
            <w:pPr>
              <w:spacing w:before="262" w:line="186" w:lineRule="auto"/>
              <w:ind w:firstLine="478"/>
              <w:rPr>
                <w:rFonts w:hint="eastAsia" w:ascii="宋体" w:hAnsi="宋体" w:eastAsia="宋体" w:cs="宋体"/>
                <w:color w:val="auto"/>
                <w:sz w:val="21"/>
                <w:szCs w:val="21"/>
                <w:highlight w:val="none"/>
              </w:rPr>
            </w:pPr>
          </w:p>
        </w:tc>
        <w:tc>
          <w:tcPr>
            <w:tcW w:w="1010" w:type="dxa"/>
            <w:vAlign w:val="top"/>
          </w:tcPr>
          <w:p>
            <w:pPr>
              <w:spacing w:before="298" w:line="180" w:lineRule="auto"/>
              <w:ind w:firstLine="403"/>
              <w:rPr>
                <w:rFonts w:hint="eastAsia" w:ascii="宋体" w:hAnsi="宋体" w:eastAsia="宋体" w:cs="宋体"/>
                <w:color w:val="auto"/>
                <w:sz w:val="21"/>
                <w:szCs w:val="21"/>
                <w:highlight w:val="none"/>
              </w:rPr>
            </w:pPr>
          </w:p>
        </w:tc>
        <w:tc>
          <w:tcPr>
            <w:tcW w:w="1025" w:type="dxa"/>
            <w:vAlign w:val="top"/>
          </w:tcPr>
          <w:p>
            <w:pPr>
              <w:rPr>
                <w:rFonts w:hint="eastAsia" w:ascii="宋体" w:hAnsi="宋体" w:eastAsia="宋体" w:cs="宋体"/>
                <w:color w:val="auto"/>
                <w:sz w:val="21"/>
                <w:highlight w:val="none"/>
              </w:rPr>
            </w:pPr>
          </w:p>
        </w:tc>
        <w:tc>
          <w:tcPr>
            <w:tcW w:w="1617" w:type="dxa"/>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8960" w:type="dxa"/>
            <w:gridSpan w:val="8"/>
            <w:vAlign w:val="top"/>
          </w:tcPr>
          <w:p>
            <w:pPr>
              <w:spacing w:before="86" w:line="185" w:lineRule="auto"/>
              <w:ind w:firstLine="124"/>
              <w:rPr>
                <w:rFonts w:hint="eastAsia" w:ascii="宋体" w:hAnsi="宋体" w:eastAsia="宋体" w:cs="宋体"/>
                <w:color w:val="auto"/>
                <w:sz w:val="22"/>
                <w:szCs w:val="22"/>
                <w:highlight w:val="none"/>
              </w:rPr>
            </w:pPr>
            <w:r>
              <w:rPr>
                <w:rFonts w:hint="eastAsia" w:ascii="宋体" w:hAnsi="宋体" w:eastAsia="宋体" w:cs="宋体"/>
                <w:color w:val="auto"/>
                <w:spacing w:val="-10"/>
                <w:w w:val="85"/>
                <w:sz w:val="24"/>
                <w:szCs w:val="24"/>
                <w:highlight w:val="none"/>
              </w:rPr>
              <w:t>总报价（一+</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0"/>
                <w:w w:val="85"/>
                <w:sz w:val="24"/>
                <w:szCs w:val="24"/>
                <w:highlight w:val="none"/>
              </w:rPr>
              <w:t>二</w:t>
            </w:r>
            <w:r>
              <w:rPr>
                <w:rFonts w:hint="eastAsia" w:ascii="宋体" w:hAnsi="宋体" w:eastAsia="宋体" w:cs="宋体"/>
                <w:color w:val="auto"/>
                <w:spacing w:val="-61"/>
                <w:sz w:val="24"/>
                <w:szCs w:val="24"/>
                <w:highlight w:val="none"/>
              </w:rPr>
              <w:t>）</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1"/>
                <w:sz w:val="24"/>
                <w:szCs w:val="24"/>
                <w:highlight w:val="none"/>
              </w:rPr>
              <w:t>：</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61"/>
                <w:sz w:val="24"/>
                <w:szCs w:val="24"/>
                <w:highlight w:val="none"/>
              </w:rPr>
              <w:t>（</w:t>
            </w:r>
            <w:r>
              <w:rPr>
                <w:rFonts w:hint="eastAsia" w:ascii="宋体" w:hAnsi="宋体" w:eastAsia="宋体" w:cs="宋体"/>
                <w:color w:val="auto"/>
                <w:spacing w:val="-10"/>
                <w:w w:val="85"/>
                <w:sz w:val="24"/>
                <w:szCs w:val="24"/>
                <w:highlight w:val="none"/>
              </w:rPr>
              <w:t>大写）</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0"/>
                <w:w w:val="85"/>
                <w:sz w:val="22"/>
                <w:szCs w:val="22"/>
                <w:highlight w:val="none"/>
              </w:rPr>
              <w:t>￥</w:t>
            </w:r>
            <w:r>
              <w:rPr>
                <w:rFonts w:hint="eastAsia" w:ascii="宋体" w:hAnsi="宋体" w:eastAsia="宋体" w:cs="宋体"/>
                <w:color w:val="auto"/>
                <w:spacing w:val="-61"/>
                <w:sz w:val="22"/>
                <w:szCs w:val="22"/>
                <w:highlight w:val="none"/>
              </w:rPr>
              <w:t>：</w:t>
            </w:r>
            <w:r>
              <w:rPr>
                <w:rFonts w:hint="eastAsia" w:ascii="宋体" w:hAnsi="宋体" w:eastAsia="宋体" w:cs="宋体"/>
                <w:color w:val="auto"/>
                <w:spacing w:val="29"/>
                <w:sz w:val="22"/>
                <w:szCs w:val="22"/>
                <w:highlight w:val="none"/>
              </w:rPr>
              <w:t xml:space="preserve"> </w:t>
            </w:r>
            <w:r>
              <w:rPr>
                <w:rFonts w:hint="eastAsia" w:ascii="宋体" w:hAnsi="宋体" w:eastAsia="宋体" w:cs="宋体"/>
                <w:color w:val="auto"/>
                <w:spacing w:val="-61"/>
                <w:sz w:val="22"/>
                <w:szCs w:val="22"/>
                <w:highlight w:val="none"/>
              </w:rPr>
              <w:t>（</w:t>
            </w:r>
            <w:r>
              <w:rPr>
                <w:rFonts w:hint="eastAsia" w:ascii="宋体" w:hAnsi="宋体" w:eastAsia="宋体" w:cs="宋体"/>
                <w:color w:val="auto"/>
                <w:spacing w:val="-10"/>
                <w:w w:val="85"/>
                <w:sz w:val="22"/>
                <w:szCs w:val="22"/>
                <w:highlight w:val="none"/>
              </w:rPr>
              <w:t>小写）</w:t>
            </w:r>
          </w:p>
        </w:tc>
      </w:tr>
    </w:tbl>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p>
    <w:p>
      <w:pPr>
        <w:pStyle w:val="2"/>
        <w:spacing w:before="5"/>
        <w:rPr>
          <w:rFonts w:hint="eastAsia" w:ascii="宋体" w:hAnsi="宋体" w:eastAsia="宋体" w:cs="宋体"/>
          <w:color w:val="auto"/>
          <w:sz w:val="24"/>
          <w:szCs w:val="24"/>
          <w:highlight w:val="none"/>
        </w:rPr>
      </w:pPr>
    </w:p>
    <w:p>
      <w:pPr>
        <w:ind w:left="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（一）采购品目、型号、数量、时间及金额</w:t>
      </w:r>
    </w:p>
    <w:p>
      <w:pPr>
        <w:pStyle w:val="2"/>
        <w:spacing w:before="3"/>
        <w:rPr>
          <w:rFonts w:hint="eastAsia" w:ascii="宋体" w:hAnsi="宋体" w:eastAsia="宋体" w:cs="宋体"/>
          <w:color w:val="auto"/>
          <w:sz w:val="24"/>
          <w:szCs w:val="24"/>
          <w:highlight w:val="none"/>
        </w:rPr>
      </w:pPr>
    </w:p>
    <w:p>
      <w:pPr>
        <w:ind w:left="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（二）组成合同的文件</w:t>
      </w:r>
    </w:p>
    <w:p>
      <w:pPr>
        <w:pStyle w:val="2"/>
        <w:rPr>
          <w:rFonts w:hint="eastAsia" w:ascii="宋体" w:hAnsi="宋体" w:eastAsia="宋体" w:cs="宋体"/>
          <w:color w:val="auto"/>
          <w:sz w:val="24"/>
          <w:szCs w:val="24"/>
          <w:highlight w:val="none"/>
        </w:rPr>
      </w:pP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组成本合同的文件包括：（1）本项目招标文件（含招标文件补充资料）；（2）供方提交的投标文件及书面承诺函；（3）中标通知书。</w:t>
      </w:r>
    </w:p>
    <w:p>
      <w:pPr>
        <w:pStyle w:val="2"/>
        <w:spacing w:before="8"/>
        <w:rPr>
          <w:rFonts w:hint="eastAsia" w:ascii="宋体" w:hAnsi="宋体" w:eastAsia="宋体" w:cs="宋体"/>
          <w:color w:val="auto"/>
          <w:sz w:val="24"/>
          <w:szCs w:val="24"/>
          <w:highlight w:val="none"/>
        </w:rPr>
      </w:pPr>
    </w:p>
    <w:p>
      <w:pPr>
        <w:ind w:left="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（三）保修及售后服务：依据商品的保修条款及售后服务条款。</w:t>
      </w:r>
    </w:p>
    <w:p>
      <w:pPr>
        <w:ind w:left="720"/>
        <w:rPr>
          <w:rFonts w:hint="eastAsia" w:ascii="宋体" w:hAnsi="宋体" w:eastAsia="宋体" w:cs="宋体"/>
          <w:color w:val="auto"/>
          <w:sz w:val="24"/>
          <w:szCs w:val="24"/>
          <w:highlight w:val="none"/>
        </w:rPr>
      </w:pP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（四）交（提）货地点、方式：供方免费送货至需方指定地方，并负责安装、调试，直至验收合格。</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（五）验收标准及提出异议时间：1、按产品装箱单验收。2、提出异议时间：</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（六）付款方式及期限：</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电梯设备支付方式：</w:t>
      </w:r>
    </w:p>
    <w:p>
      <w:pPr>
        <w:spacing w:before="192"/>
        <w:ind w:left="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供方开户银行名称：</w:t>
      </w:r>
    </w:p>
    <w:p>
      <w:pPr>
        <w:pStyle w:val="2"/>
        <w:spacing w:before="3"/>
        <w:rPr>
          <w:rFonts w:hint="eastAsia" w:ascii="宋体" w:hAnsi="宋体" w:eastAsia="宋体" w:cs="宋体"/>
          <w:color w:val="auto"/>
          <w:sz w:val="24"/>
          <w:szCs w:val="24"/>
          <w:highlight w:val="none"/>
        </w:rPr>
      </w:pPr>
    </w:p>
    <w:p>
      <w:pPr>
        <w:ind w:left="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帐号：</w:t>
      </w:r>
    </w:p>
    <w:p>
      <w:pPr>
        <w:pStyle w:val="2"/>
        <w:spacing w:before="1"/>
        <w:rPr>
          <w:rFonts w:hint="eastAsia" w:ascii="宋体" w:hAnsi="宋体" w:eastAsia="宋体" w:cs="宋体"/>
          <w:color w:val="auto"/>
          <w:sz w:val="24"/>
          <w:szCs w:val="24"/>
          <w:highlight w:val="none"/>
        </w:rPr>
      </w:pPr>
    </w:p>
    <w:p>
      <w:pPr>
        <w:ind w:left="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（七）违约责任：</w:t>
      </w:r>
    </w:p>
    <w:p>
      <w:pPr>
        <w:pStyle w:val="2"/>
        <w:spacing w:before="2"/>
        <w:rPr>
          <w:rFonts w:hint="eastAsia" w:ascii="宋体" w:hAnsi="宋体" w:eastAsia="宋体" w:cs="宋体"/>
          <w:color w:val="auto"/>
          <w:sz w:val="24"/>
          <w:szCs w:val="24"/>
          <w:highlight w:val="none"/>
        </w:rPr>
      </w:pP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（1）需方无正当理由拒收设备，需方向供方偿付设备价款的 10%的违约金；</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（2）需方无正当理由逾期付设备款的，需方每日偿付设备价款 0.5‰的违约金；</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（3）供方不能交付设备的，供方向需方支付合同总价款的 20%的违约金；</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（4）供方逾期交付设备的，供方向需方每日偿付合同总价款的 5‰的违约金；逾期超过 30 天的， 需方有权解除合同。</w:t>
      </w:r>
    </w:p>
    <w:p>
      <w:pPr>
        <w:tabs>
          <w:tab w:val="left" w:pos="2040"/>
        </w:tabs>
        <w:spacing w:line="360" w:lineRule="auto"/>
        <w:ind w:firstLine="720" w:firstLineChars="3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（5）供方不能满足合同相关要求或违反合同有关约定，供方向需方支付合同总价款的 2%的违约金。</w:t>
      </w:r>
    </w:p>
    <w:p>
      <w:pPr>
        <w:spacing w:before="2"/>
        <w:ind w:left="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（八）解决合同纠纷方式：</w:t>
      </w:r>
    </w:p>
    <w:p>
      <w:pPr>
        <w:pStyle w:val="2"/>
        <w:spacing w:before="2"/>
        <w:rPr>
          <w:rFonts w:hint="eastAsia" w:ascii="宋体" w:hAnsi="宋体" w:eastAsia="宋体" w:cs="宋体"/>
          <w:color w:val="auto"/>
          <w:sz w:val="24"/>
          <w:szCs w:val="24"/>
          <w:highlight w:val="none"/>
        </w:rPr>
      </w:pPr>
    </w:p>
    <w:p>
      <w:pPr>
        <w:pStyle w:val="43"/>
        <w:numPr>
          <w:ilvl w:val="0"/>
          <w:numId w:val="2"/>
        </w:numPr>
        <w:tabs>
          <w:tab w:val="left" w:pos="1223"/>
        </w:tabs>
        <w:ind w:hanging="503"/>
        <w:rPr>
          <w:rFonts w:hint="eastAsia" w:ascii="宋体" w:hAnsi="宋体" w:eastAsia="宋体" w:cs="宋体"/>
          <w:color w:val="auto"/>
          <w:sz w:val="24"/>
          <w:szCs w:val="24"/>
          <w:highlight w:val="none"/>
        </w:rPr>
      </w:pPr>
      <w:bookmarkStart w:id="28" w:name="（1）双方协商解决；"/>
      <w:bookmarkEnd w:id="28"/>
      <w:r>
        <w:rPr>
          <w:rFonts w:hint="eastAsia" w:ascii="宋体" w:hAnsi="宋体" w:eastAsia="宋体" w:cs="宋体"/>
          <w:color w:val="auto"/>
          <w:spacing w:val="-3"/>
          <w:sz w:val="24"/>
          <w:szCs w:val="24"/>
          <w:highlight w:val="none"/>
        </w:rPr>
        <w:t>双方协商解决；</w:t>
      </w:r>
    </w:p>
    <w:p>
      <w:pPr>
        <w:pStyle w:val="2"/>
        <w:spacing w:before="3"/>
        <w:rPr>
          <w:rFonts w:hint="eastAsia" w:ascii="宋体" w:hAnsi="宋体" w:eastAsia="宋体" w:cs="宋体"/>
          <w:color w:val="auto"/>
          <w:sz w:val="24"/>
          <w:szCs w:val="24"/>
          <w:highlight w:val="none"/>
        </w:rPr>
      </w:pPr>
    </w:p>
    <w:p>
      <w:pPr>
        <w:pStyle w:val="43"/>
        <w:numPr>
          <w:ilvl w:val="0"/>
          <w:numId w:val="2"/>
        </w:numPr>
        <w:tabs>
          <w:tab w:val="left" w:pos="1223"/>
        </w:tabs>
        <w:ind w:hanging="503"/>
        <w:rPr>
          <w:rFonts w:hint="eastAsia" w:ascii="宋体" w:hAnsi="宋体" w:eastAsia="宋体" w:cs="宋体"/>
          <w:color w:val="auto"/>
          <w:sz w:val="24"/>
          <w:szCs w:val="24"/>
          <w:highlight w:val="none"/>
        </w:rPr>
      </w:pPr>
      <w:bookmarkStart w:id="29" w:name="（2）提请仲裁；"/>
      <w:bookmarkEnd w:id="29"/>
      <w:r>
        <w:rPr>
          <w:rFonts w:hint="eastAsia" w:ascii="宋体" w:hAnsi="宋体" w:eastAsia="宋体" w:cs="宋体"/>
          <w:color w:val="auto"/>
          <w:spacing w:val="-2"/>
          <w:sz w:val="24"/>
          <w:szCs w:val="24"/>
          <w:highlight w:val="none"/>
        </w:rPr>
        <w:t>提请仲裁；</w:t>
      </w:r>
    </w:p>
    <w:p>
      <w:pPr>
        <w:pStyle w:val="2"/>
        <w:spacing w:before="3"/>
        <w:rPr>
          <w:rFonts w:hint="eastAsia" w:ascii="宋体" w:hAnsi="宋体" w:eastAsia="宋体" w:cs="宋体"/>
          <w:color w:val="auto"/>
          <w:sz w:val="24"/>
          <w:szCs w:val="24"/>
          <w:highlight w:val="none"/>
        </w:rPr>
      </w:pPr>
    </w:p>
    <w:p>
      <w:pPr>
        <w:pStyle w:val="43"/>
        <w:numPr>
          <w:ilvl w:val="0"/>
          <w:numId w:val="2"/>
        </w:numPr>
        <w:tabs>
          <w:tab w:val="left" w:pos="1223"/>
        </w:tabs>
        <w:ind w:hanging="503"/>
        <w:rPr>
          <w:rFonts w:hint="eastAsia" w:ascii="宋体" w:hAnsi="宋体" w:eastAsia="宋体" w:cs="宋体"/>
          <w:color w:val="auto"/>
          <w:sz w:val="24"/>
          <w:szCs w:val="24"/>
          <w:highlight w:val="none"/>
        </w:rPr>
      </w:pPr>
      <w:bookmarkStart w:id="30" w:name="（3）向郊区人民法院提起诉讼。"/>
      <w:bookmarkEnd w:id="30"/>
      <w:r>
        <w:rPr>
          <w:rFonts w:hint="eastAsia" w:ascii="宋体" w:hAnsi="宋体" w:eastAsia="宋体" w:cs="宋体"/>
          <w:color w:val="auto"/>
          <w:spacing w:val="-3"/>
          <w:sz w:val="24"/>
          <w:szCs w:val="24"/>
          <w:highlight w:val="none"/>
        </w:rPr>
        <w:t>向人民法院提起诉讼。</w:t>
      </w:r>
    </w:p>
    <w:p>
      <w:pPr>
        <w:pStyle w:val="2"/>
        <w:spacing w:before="3"/>
        <w:rPr>
          <w:rFonts w:hint="eastAsia" w:ascii="宋体" w:hAnsi="宋体" w:eastAsia="宋体" w:cs="宋体"/>
          <w:color w:val="auto"/>
          <w:sz w:val="24"/>
          <w:szCs w:val="24"/>
          <w:highlight w:val="none"/>
        </w:rPr>
      </w:pPr>
    </w:p>
    <w:p>
      <w:pPr>
        <w:ind w:left="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（九）其他约定事项：（详见招标文件有关内容，在合同签订时双方商定）</w:t>
      </w:r>
    </w:p>
    <w:p>
      <w:pPr>
        <w:pStyle w:val="2"/>
        <w:spacing w:before="3"/>
        <w:rPr>
          <w:rFonts w:hint="eastAsia" w:ascii="宋体" w:hAnsi="宋体" w:eastAsia="宋体" w:cs="宋体"/>
          <w:color w:val="auto"/>
          <w:sz w:val="24"/>
          <w:szCs w:val="24"/>
          <w:highlight w:val="none"/>
        </w:rPr>
      </w:pPr>
    </w:p>
    <w:p>
      <w:pPr>
        <w:tabs>
          <w:tab w:val="left" w:pos="5122"/>
        </w:tabs>
        <w:spacing w:line="448" w:lineRule="auto"/>
        <w:ind w:left="720" w:right="10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w:t>
      </w:r>
      <w:r>
        <w:rPr>
          <w:rFonts w:hint="eastAsia" w:ascii="宋体" w:hAnsi="宋体" w:eastAsia="宋体" w:cs="宋体"/>
          <w:color w:val="auto"/>
          <w:spacing w:val="-3"/>
          <w:sz w:val="24"/>
          <w:szCs w:val="24"/>
          <w:highlight w:val="none"/>
        </w:rPr>
        <w:t>须</w:t>
      </w:r>
      <w:r>
        <w:rPr>
          <w:rFonts w:hint="eastAsia" w:ascii="宋体" w:hAnsi="宋体" w:eastAsia="宋体" w:cs="宋体"/>
          <w:color w:val="auto"/>
          <w:sz w:val="24"/>
          <w:szCs w:val="24"/>
          <w:highlight w:val="none"/>
        </w:rPr>
        <w:t>供需</w:t>
      </w:r>
      <w:r>
        <w:rPr>
          <w:rFonts w:hint="eastAsia" w:ascii="宋体" w:hAnsi="宋体" w:eastAsia="宋体" w:cs="宋体"/>
          <w:color w:val="auto"/>
          <w:spacing w:val="-3"/>
          <w:sz w:val="24"/>
          <w:szCs w:val="24"/>
          <w:highlight w:val="none"/>
        </w:rPr>
        <w:t>双</w:t>
      </w:r>
      <w:r>
        <w:rPr>
          <w:rFonts w:hint="eastAsia" w:ascii="宋体" w:hAnsi="宋体" w:eastAsia="宋体" w:cs="宋体"/>
          <w:color w:val="auto"/>
          <w:sz w:val="24"/>
          <w:szCs w:val="24"/>
          <w:highlight w:val="none"/>
        </w:rPr>
        <w:t>方签</w:t>
      </w:r>
      <w:r>
        <w:rPr>
          <w:rFonts w:hint="eastAsia" w:ascii="宋体" w:hAnsi="宋体" w:eastAsia="宋体" w:cs="宋体"/>
          <w:color w:val="auto"/>
          <w:spacing w:val="-3"/>
          <w:sz w:val="24"/>
          <w:szCs w:val="24"/>
          <w:highlight w:val="none"/>
        </w:rPr>
        <w:t>字、</w:t>
      </w:r>
      <w:r>
        <w:rPr>
          <w:rFonts w:hint="eastAsia" w:ascii="宋体" w:hAnsi="宋体" w:eastAsia="宋体" w:cs="宋体"/>
          <w:color w:val="auto"/>
          <w:sz w:val="24"/>
          <w:szCs w:val="24"/>
          <w:highlight w:val="none"/>
        </w:rPr>
        <w:t>盖章后</w:t>
      </w:r>
      <w:r>
        <w:rPr>
          <w:rFonts w:hint="eastAsia" w:ascii="宋体" w:hAnsi="宋体" w:eastAsia="宋体" w:cs="宋体"/>
          <w:color w:val="auto"/>
          <w:spacing w:val="-3"/>
          <w:sz w:val="24"/>
          <w:szCs w:val="24"/>
          <w:highlight w:val="none"/>
        </w:rPr>
        <w:t>生</w:t>
      </w:r>
      <w:r>
        <w:rPr>
          <w:rFonts w:hint="eastAsia" w:ascii="宋体" w:hAnsi="宋体" w:eastAsia="宋体" w:cs="宋体"/>
          <w:color w:val="auto"/>
          <w:sz w:val="24"/>
          <w:szCs w:val="24"/>
          <w:highlight w:val="none"/>
        </w:rPr>
        <w:t>效。</w:t>
      </w:r>
      <w:r>
        <w:rPr>
          <w:rFonts w:hint="eastAsia" w:ascii="宋体" w:hAnsi="宋体" w:eastAsia="宋体" w:cs="宋体"/>
          <w:color w:val="auto"/>
          <w:spacing w:val="-3"/>
          <w:sz w:val="24"/>
          <w:szCs w:val="24"/>
          <w:highlight w:val="none"/>
        </w:rPr>
        <w:t>合</w:t>
      </w:r>
      <w:r>
        <w:rPr>
          <w:rFonts w:hint="eastAsia" w:ascii="宋体" w:hAnsi="宋体" w:eastAsia="宋体" w:cs="宋体"/>
          <w:color w:val="auto"/>
          <w:sz w:val="24"/>
          <w:szCs w:val="24"/>
          <w:highlight w:val="none"/>
        </w:rPr>
        <w:t>同内</w:t>
      </w:r>
      <w:r>
        <w:rPr>
          <w:rFonts w:hint="eastAsia" w:ascii="宋体" w:hAnsi="宋体" w:eastAsia="宋体" w:cs="宋体"/>
          <w:color w:val="auto"/>
          <w:spacing w:val="-3"/>
          <w:sz w:val="24"/>
          <w:szCs w:val="24"/>
          <w:highlight w:val="none"/>
        </w:rPr>
        <w:t>容如</w:t>
      </w:r>
      <w:r>
        <w:rPr>
          <w:rFonts w:hint="eastAsia" w:ascii="宋体" w:hAnsi="宋体" w:eastAsia="宋体" w:cs="宋体"/>
          <w:color w:val="auto"/>
          <w:sz w:val="24"/>
          <w:szCs w:val="24"/>
          <w:highlight w:val="none"/>
        </w:rPr>
        <w:t>国家法</w:t>
      </w:r>
      <w:r>
        <w:rPr>
          <w:rFonts w:hint="eastAsia" w:ascii="宋体" w:hAnsi="宋体" w:eastAsia="宋体" w:cs="宋体"/>
          <w:color w:val="auto"/>
          <w:spacing w:val="-3"/>
          <w:sz w:val="24"/>
          <w:szCs w:val="24"/>
          <w:highlight w:val="none"/>
        </w:rPr>
        <w:t>律</w:t>
      </w:r>
      <w:r>
        <w:rPr>
          <w:rFonts w:hint="eastAsia" w:ascii="宋体" w:hAnsi="宋体" w:eastAsia="宋体" w:cs="宋体"/>
          <w:color w:val="auto"/>
          <w:sz w:val="24"/>
          <w:szCs w:val="24"/>
          <w:highlight w:val="none"/>
        </w:rPr>
        <w:t>、法</w:t>
      </w:r>
      <w:r>
        <w:rPr>
          <w:rFonts w:hint="eastAsia" w:ascii="宋体" w:hAnsi="宋体" w:eastAsia="宋体" w:cs="宋体"/>
          <w:color w:val="auto"/>
          <w:spacing w:val="-3"/>
          <w:sz w:val="24"/>
          <w:szCs w:val="24"/>
          <w:highlight w:val="none"/>
        </w:rPr>
        <w:t>规</w:t>
      </w:r>
      <w:r>
        <w:rPr>
          <w:rFonts w:hint="eastAsia" w:ascii="宋体" w:hAnsi="宋体" w:eastAsia="宋体" w:cs="宋体"/>
          <w:color w:val="auto"/>
          <w:sz w:val="24"/>
          <w:szCs w:val="24"/>
          <w:highlight w:val="none"/>
        </w:rPr>
        <w:t>及政</w:t>
      </w:r>
      <w:r>
        <w:rPr>
          <w:rFonts w:hint="eastAsia" w:ascii="宋体" w:hAnsi="宋体" w:eastAsia="宋体" w:cs="宋体"/>
          <w:color w:val="auto"/>
          <w:spacing w:val="-3"/>
          <w:sz w:val="24"/>
          <w:szCs w:val="24"/>
          <w:highlight w:val="none"/>
        </w:rPr>
        <w:t>策另</w:t>
      </w:r>
      <w:r>
        <w:rPr>
          <w:rFonts w:hint="eastAsia" w:ascii="宋体" w:hAnsi="宋体" w:eastAsia="宋体" w:cs="宋体"/>
          <w:color w:val="auto"/>
          <w:sz w:val="24"/>
          <w:szCs w:val="24"/>
          <w:highlight w:val="none"/>
        </w:rPr>
        <w:t>有规定</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，从</w:t>
      </w:r>
      <w:r>
        <w:rPr>
          <w:rFonts w:hint="eastAsia" w:ascii="宋体" w:hAnsi="宋体" w:eastAsia="宋体" w:cs="宋体"/>
          <w:color w:val="auto"/>
          <w:spacing w:val="-3"/>
          <w:sz w:val="24"/>
          <w:szCs w:val="24"/>
          <w:highlight w:val="none"/>
        </w:rPr>
        <w:t>其</w:t>
      </w:r>
      <w:r>
        <w:rPr>
          <w:rFonts w:hint="eastAsia" w:ascii="宋体" w:hAnsi="宋体" w:eastAsia="宋体" w:cs="宋体"/>
          <w:color w:val="auto"/>
          <w:sz w:val="24"/>
          <w:szCs w:val="24"/>
          <w:highlight w:val="none"/>
        </w:rPr>
        <w:t>规定。需方（</w:t>
      </w:r>
      <w:r>
        <w:rPr>
          <w:rFonts w:hint="eastAsia" w:ascii="宋体" w:hAnsi="宋体" w:eastAsia="宋体" w:cs="宋体"/>
          <w:color w:val="auto"/>
          <w:spacing w:val="-3"/>
          <w:sz w:val="24"/>
          <w:szCs w:val="24"/>
          <w:highlight w:val="none"/>
        </w:rPr>
        <w:t>发</w:t>
      </w:r>
      <w:r>
        <w:rPr>
          <w:rFonts w:hint="eastAsia" w:ascii="宋体" w:hAnsi="宋体" w:eastAsia="宋体" w:cs="宋体"/>
          <w:color w:val="auto"/>
          <w:sz w:val="24"/>
          <w:szCs w:val="24"/>
          <w:highlight w:val="none"/>
        </w:rPr>
        <w:t>包人）：</w:t>
      </w:r>
      <w:r>
        <w:rPr>
          <w:rFonts w:hint="eastAsia" w:ascii="宋体" w:hAnsi="宋体" w:eastAsia="宋体" w:cs="宋体"/>
          <w:color w:val="auto"/>
          <w:sz w:val="24"/>
          <w:szCs w:val="24"/>
          <w:highlight w:val="none"/>
        </w:rPr>
        <w:tab/>
      </w:r>
      <w:r>
        <w:rPr>
          <w:rFonts w:hint="eastAsia" w:ascii="宋体" w:hAnsi="宋体" w:eastAsia="宋体" w:cs="宋体"/>
          <w:color w:val="auto"/>
          <w:spacing w:val="-3"/>
          <w:sz w:val="24"/>
          <w:szCs w:val="24"/>
          <w:highlight w:val="none"/>
        </w:rPr>
        <w:t>供方</w:t>
      </w:r>
      <w:r>
        <w:rPr>
          <w:rFonts w:hint="eastAsia" w:ascii="宋体" w:hAnsi="宋体" w:eastAsia="宋体" w:cs="宋体"/>
          <w:color w:val="auto"/>
          <w:sz w:val="24"/>
          <w:szCs w:val="24"/>
          <w:highlight w:val="none"/>
        </w:rPr>
        <w:t>（承包</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w:t>
      </w:r>
    </w:p>
    <w:p>
      <w:pPr>
        <w:tabs>
          <w:tab w:val="left" w:pos="5122"/>
        </w:tabs>
        <w:spacing w:before="1"/>
        <w:ind w:left="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需方（</w:t>
      </w:r>
      <w:r>
        <w:rPr>
          <w:rFonts w:hint="eastAsia" w:ascii="宋体" w:hAnsi="宋体" w:eastAsia="宋体" w:cs="宋体"/>
          <w:color w:val="auto"/>
          <w:spacing w:val="-3"/>
          <w:sz w:val="24"/>
          <w:szCs w:val="24"/>
          <w:highlight w:val="none"/>
        </w:rPr>
        <w:t>盖</w:t>
      </w:r>
      <w:r>
        <w:rPr>
          <w:rFonts w:hint="eastAsia" w:ascii="宋体" w:hAnsi="宋体" w:eastAsia="宋体" w:cs="宋体"/>
          <w:color w:val="auto"/>
          <w:sz w:val="24"/>
          <w:szCs w:val="24"/>
          <w:highlight w:val="none"/>
        </w:rPr>
        <w:t>章）：</w:t>
      </w:r>
      <w:r>
        <w:rPr>
          <w:rFonts w:hint="eastAsia" w:ascii="宋体" w:hAnsi="宋体" w:eastAsia="宋体" w:cs="宋体"/>
          <w:color w:val="auto"/>
          <w:sz w:val="24"/>
          <w:szCs w:val="24"/>
          <w:highlight w:val="none"/>
        </w:rPr>
        <w:tab/>
      </w:r>
      <w:r>
        <w:rPr>
          <w:rFonts w:hint="eastAsia" w:ascii="宋体" w:hAnsi="宋体" w:eastAsia="宋体" w:cs="宋体"/>
          <w:color w:val="auto"/>
          <w:spacing w:val="-3"/>
          <w:sz w:val="24"/>
          <w:szCs w:val="24"/>
          <w:highlight w:val="none"/>
        </w:rPr>
        <w:t>供方</w:t>
      </w:r>
      <w:r>
        <w:rPr>
          <w:rFonts w:hint="eastAsia" w:ascii="宋体" w:hAnsi="宋体" w:eastAsia="宋体" w:cs="宋体"/>
          <w:color w:val="auto"/>
          <w:sz w:val="24"/>
          <w:szCs w:val="24"/>
          <w:highlight w:val="none"/>
        </w:rPr>
        <w:t>（盖章）：</w:t>
      </w:r>
    </w:p>
    <w:p>
      <w:pPr>
        <w:pStyle w:val="2"/>
        <w:spacing w:before="3"/>
        <w:rPr>
          <w:rFonts w:hint="eastAsia" w:ascii="宋体" w:hAnsi="宋体" w:eastAsia="宋体" w:cs="宋体"/>
          <w:color w:val="auto"/>
          <w:sz w:val="24"/>
          <w:szCs w:val="24"/>
          <w:highlight w:val="none"/>
        </w:rPr>
      </w:pPr>
    </w:p>
    <w:p>
      <w:pPr>
        <w:tabs>
          <w:tab w:val="left" w:pos="5122"/>
        </w:tabs>
        <w:ind w:left="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法人（</w:t>
      </w:r>
      <w:r>
        <w:rPr>
          <w:rFonts w:hint="eastAsia" w:ascii="宋体" w:hAnsi="宋体" w:eastAsia="宋体" w:cs="宋体"/>
          <w:color w:val="auto"/>
          <w:spacing w:val="-3"/>
          <w:sz w:val="24"/>
          <w:szCs w:val="24"/>
          <w:highlight w:val="none"/>
        </w:rPr>
        <w:t>授</w:t>
      </w:r>
      <w:r>
        <w:rPr>
          <w:rFonts w:hint="eastAsia" w:ascii="宋体" w:hAnsi="宋体" w:eastAsia="宋体" w:cs="宋体"/>
          <w:color w:val="auto"/>
          <w:sz w:val="24"/>
          <w:szCs w:val="24"/>
          <w:highlight w:val="none"/>
        </w:rPr>
        <w:t>权）</w:t>
      </w:r>
      <w:r>
        <w:rPr>
          <w:rFonts w:hint="eastAsia" w:ascii="宋体" w:hAnsi="宋体" w:eastAsia="宋体" w:cs="宋体"/>
          <w:color w:val="auto"/>
          <w:spacing w:val="-3"/>
          <w:sz w:val="24"/>
          <w:szCs w:val="24"/>
          <w:highlight w:val="none"/>
        </w:rPr>
        <w:t>代</w:t>
      </w:r>
      <w:r>
        <w:rPr>
          <w:rFonts w:hint="eastAsia" w:ascii="宋体" w:hAnsi="宋体" w:eastAsia="宋体" w:cs="宋体"/>
          <w:color w:val="auto"/>
          <w:sz w:val="24"/>
          <w:szCs w:val="24"/>
          <w:highlight w:val="none"/>
        </w:rPr>
        <w:t>表人：</w:t>
      </w:r>
      <w:r>
        <w:rPr>
          <w:rFonts w:hint="eastAsia" w:ascii="宋体" w:hAnsi="宋体" w:eastAsia="宋体" w:cs="宋体"/>
          <w:color w:val="auto"/>
          <w:sz w:val="24"/>
          <w:szCs w:val="24"/>
          <w:highlight w:val="none"/>
        </w:rPr>
        <w:tab/>
      </w:r>
      <w:r>
        <w:rPr>
          <w:rFonts w:hint="eastAsia" w:ascii="宋体" w:hAnsi="宋体" w:eastAsia="宋体" w:cs="宋体"/>
          <w:color w:val="auto"/>
          <w:spacing w:val="-3"/>
          <w:sz w:val="24"/>
          <w:szCs w:val="24"/>
          <w:highlight w:val="none"/>
        </w:rPr>
        <w:t>法人</w:t>
      </w:r>
      <w:r>
        <w:rPr>
          <w:rFonts w:hint="eastAsia" w:ascii="宋体" w:hAnsi="宋体" w:eastAsia="宋体" w:cs="宋体"/>
          <w:color w:val="auto"/>
          <w:sz w:val="24"/>
          <w:szCs w:val="24"/>
          <w:highlight w:val="none"/>
        </w:rPr>
        <w:t>（授权</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代表</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w:t>
      </w:r>
    </w:p>
    <w:p>
      <w:pPr>
        <w:tabs>
          <w:tab w:val="left" w:pos="5122"/>
        </w:tabs>
        <w:spacing w:before="41"/>
        <w:ind w:left="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rPr>
        <w:tab/>
      </w:r>
      <w:r>
        <w:rPr>
          <w:rFonts w:hint="eastAsia" w:ascii="宋体" w:hAnsi="宋体" w:eastAsia="宋体" w:cs="宋体"/>
          <w:color w:val="auto"/>
          <w:spacing w:val="-3"/>
          <w:sz w:val="24"/>
          <w:szCs w:val="24"/>
          <w:highlight w:val="none"/>
        </w:rPr>
        <w:t>地址：</w:t>
      </w:r>
    </w:p>
    <w:p>
      <w:pPr>
        <w:pStyle w:val="2"/>
        <w:spacing w:before="2"/>
        <w:rPr>
          <w:rFonts w:hint="eastAsia" w:ascii="宋体" w:hAnsi="宋体" w:eastAsia="宋体" w:cs="宋体"/>
          <w:color w:val="auto"/>
          <w:sz w:val="24"/>
          <w:szCs w:val="24"/>
          <w:highlight w:val="none"/>
        </w:rPr>
      </w:pPr>
    </w:p>
    <w:p>
      <w:pPr>
        <w:tabs>
          <w:tab w:val="left" w:pos="5122"/>
        </w:tabs>
        <w:spacing w:before="1"/>
        <w:ind w:left="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w:t>
      </w:r>
      <w:r>
        <w:rPr>
          <w:rFonts w:hint="eastAsia" w:ascii="宋体" w:hAnsi="宋体" w:eastAsia="宋体" w:cs="宋体"/>
          <w:color w:val="auto"/>
          <w:spacing w:val="-3"/>
          <w:sz w:val="24"/>
          <w:szCs w:val="24"/>
          <w:highlight w:val="none"/>
        </w:rPr>
        <w:t>行</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ab/>
      </w:r>
      <w:r>
        <w:rPr>
          <w:rFonts w:hint="eastAsia" w:ascii="宋体" w:hAnsi="宋体" w:eastAsia="宋体" w:cs="宋体"/>
          <w:color w:val="auto"/>
          <w:spacing w:val="-3"/>
          <w:sz w:val="24"/>
          <w:szCs w:val="24"/>
          <w:highlight w:val="none"/>
        </w:rPr>
        <w:t>开户</w:t>
      </w:r>
      <w:r>
        <w:rPr>
          <w:rFonts w:hint="eastAsia" w:ascii="宋体" w:hAnsi="宋体" w:eastAsia="宋体" w:cs="宋体"/>
          <w:color w:val="auto"/>
          <w:sz w:val="24"/>
          <w:szCs w:val="24"/>
          <w:highlight w:val="none"/>
        </w:rPr>
        <w:t>银行：</w:t>
      </w:r>
    </w:p>
    <w:p>
      <w:pPr>
        <w:pStyle w:val="2"/>
        <w:spacing w:before="2"/>
        <w:rPr>
          <w:rFonts w:hint="eastAsia" w:ascii="宋体" w:hAnsi="宋体" w:eastAsia="宋体" w:cs="宋体"/>
          <w:color w:val="auto"/>
          <w:sz w:val="24"/>
          <w:szCs w:val="24"/>
          <w:highlight w:val="none"/>
        </w:rPr>
      </w:pPr>
    </w:p>
    <w:p>
      <w:pPr>
        <w:tabs>
          <w:tab w:val="left" w:pos="5122"/>
        </w:tabs>
        <w:ind w:left="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r>
        <w:rPr>
          <w:rFonts w:hint="eastAsia" w:ascii="宋体" w:hAnsi="宋体" w:eastAsia="宋体" w:cs="宋体"/>
          <w:color w:val="auto"/>
          <w:sz w:val="24"/>
          <w:szCs w:val="24"/>
          <w:highlight w:val="none"/>
        </w:rPr>
        <w:tab/>
      </w:r>
      <w:r>
        <w:rPr>
          <w:rFonts w:hint="eastAsia" w:ascii="宋体" w:hAnsi="宋体" w:eastAsia="宋体" w:cs="宋体"/>
          <w:color w:val="auto"/>
          <w:spacing w:val="-3"/>
          <w:sz w:val="24"/>
          <w:szCs w:val="24"/>
          <w:highlight w:val="none"/>
        </w:rPr>
        <w:t>账号：</w:t>
      </w:r>
    </w:p>
    <w:p>
      <w:pPr>
        <w:pStyle w:val="2"/>
        <w:spacing w:before="3"/>
        <w:rPr>
          <w:rFonts w:hint="eastAsia" w:ascii="宋体" w:hAnsi="宋体" w:eastAsia="宋体" w:cs="宋体"/>
          <w:color w:val="auto"/>
          <w:sz w:val="24"/>
          <w:szCs w:val="24"/>
          <w:highlight w:val="none"/>
        </w:rPr>
      </w:pPr>
    </w:p>
    <w:p>
      <w:pPr>
        <w:tabs>
          <w:tab w:val="left" w:pos="5122"/>
        </w:tabs>
        <w:ind w:left="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rPr>
        <w:tab/>
      </w:r>
      <w:r>
        <w:rPr>
          <w:rFonts w:hint="eastAsia" w:ascii="宋体" w:hAnsi="宋体" w:eastAsia="宋体" w:cs="宋体"/>
          <w:color w:val="auto"/>
          <w:spacing w:val="-3"/>
          <w:sz w:val="24"/>
          <w:szCs w:val="24"/>
          <w:highlight w:val="none"/>
        </w:rPr>
        <w:t>电话：</w:t>
      </w:r>
    </w:p>
    <w:p>
      <w:pPr>
        <w:pStyle w:val="2"/>
        <w:spacing w:before="2"/>
        <w:rPr>
          <w:rFonts w:hint="eastAsia" w:ascii="宋体" w:hAnsi="宋体" w:eastAsia="宋体" w:cs="宋体"/>
          <w:color w:val="auto"/>
          <w:sz w:val="24"/>
          <w:szCs w:val="24"/>
          <w:highlight w:val="none"/>
        </w:rPr>
      </w:pPr>
    </w:p>
    <w:p>
      <w:pPr>
        <w:tabs>
          <w:tab w:val="left" w:pos="5122"/>
        </w:tabs>
        <w:spacing w:before="1"/>
        <w:ind w:left="720"/>
        <w:rPr>
          <w:rFonts w:hint="eastAsia" w:ascii="宋体" w:hAnsi="宋体" w:eastAsia="宋体" w:cs="宋体"/>
          <w:color w:val="auto"/>
          <w:kern w:val="0"/>
          <w:szCs w:val="21"/>
          <w:highlight w:val="none"/>
          <w:u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pacing w:val="-3"/>
          <w:sz w:val="24"/>
          <w:szCs w:val="24"/>
          <w:highlight w:val="none"/>
        </w:rPr>
        <w:t>年</w:t>
      </w:r>
      <w:r>
        <w:rPr>
          <w:rFonts w:hint="eastAsia" w:ascii="宋体" w:hAnsi="宋体" w:eastAsia="宋体" w:cs="宋体"/>
          <w:color w:val="auto"/>
          <w:sz w:val="24"/>
          <w:szCs w:val="24"/>
          <w:highlight w:val="none"/>
        </w:rPr>
        <w:t>月日</w:t>
      </w:r>
      <w:r>
        <w:rPr>
          <w:rFonts w:hint="eastAsia" w:ascii="宋体" w:hAnsi="宋体" w:eastAsia="宋体" w:cs="宋体"/>
          <w:color w:val="auto"/>
          <w:sz w:val="24"/>
          <w:szCs w:val="24"/>
          <w:highlight w:val="none"/>
        </w:rPr>
        <w:tab/>
      </w:r>
      <w:r>
        <w:rPr>
          <w:rFonts w:hint="eastAsia" w:ascii="宋体" w:hAnsi="宋体" w:eastAsia="宋体" w:cs="宋体"/>
          <w:color w:val="auto"/>
          <w:spacing w:val="-3"/>
          <w:sz w:val="24"/>
          <w:szCs w:val="24"/>
          <w:highlight w:val="none"/>
        </w:rPr>
        <w:t>日期</w:t>
      </w:r>
      <w:r>
        <w:rPr>
          <w:rFonts w:hint="eastAsia" w:ascii="宋体" w:hAnsi="宋体" w:eastAsia="宋体" w:cs="宋体"/>
          <w:color w:val="auto"/>
          <w:sz w:val="24"/>
          <w:szCs w:val="24"/>
          <w:highlight w:val="none"/>
        </w:rPr>
        <w:t>：年月日</w:t>
      </w:r>
      <w:bookmarkEnd w:id="23"/>
      <w:bookmarkEnd w:id="24"/>
      <w:bookmarkEnd w:id="25"/>
      <w:bookmarkEnd w:id="26"/>
      <w:bookmarkStart w:id="31" w:name="_Toc246997062"/>
      <w:bookmarkEnd w:id="31"/>
      <w:bookmarkStart w:id="32" w:name="_Toc29298"/>
      <w:bookmarkEnd w:id="32"/>
      <w:bookmarkStart w:id="33" w:name="_Toc296602565"/>
      <w:bookmarkEnd w:id="33"/>
      <w:bookmarkStart w:id="34" w:name="_Toc369531675"/>
      <w:bookmarkEnd w:id="34"/>
      <w:bookmarkStart w:id="35" w:name="_Toc246996319"/>
      <w:bookmarkEnd w:id="35"/>
      <w:bookmarkStart w:id="36" w:name="_Toc184635117"/>
      <w:bookmarkEnd w:id="36"/>
      <w:bookmarkStart w:id="37" w:name="_Toc247085834"/>
      <w:bookmarkEnd w:id="37"/>
      <w:bookmarkStart w:id="38" w:name="_Toc9766"/>
      <w:bookmarkEnd w:id="38"/>
      <w:bookmarkStart w:id="39" w:name="_Toc369531676"/>
      <w:bookmarkEnd w:id="39"/>
      <w:r>
        <w:rPr>
          <w:rFonts w:hint="eastAsia" w:ascii="宋体" w:hAnsi="宋体" w:eastAsia="宋体" w:cs="宋体"/>
          <w:color w:val="auto"/>
          <w:kern w:val="0"/>
          <w:szCs w:val="21"/>
          <w:highlight w:val="none"/>
          <w:u w:val="none"/>
        </w:rPr>
        <w:t xml:space="preserve">              </w:t>
      </w:r>
    </w:p>
    <w:p>
      <w:pPr>
        <w:spacing w:line="420" w:lineRule="exact"/>
        <w:jc w:val="center"/>
        <w:rPr>
          <w:rFonts w:hint="eastAsia" w:ascii="宋体" w:hAnsi="宋体" w:eastAsia="宋体" w:cs="宋体"/>
          <w:color w:val="auto"/>
          <w:highlight w:val="none"/>
          <w:u w:val="none"/>
        </w:rPr>
      </w:pPr>
    </w:p>
    <w:p>
      <w:pPr>
        <w:spacing w:line="420" w:lineRule="exact"/>
        <w:jc w:val="center"/>
        <w:rPr>
          <w:rFonts w:hint="eastAsia" w:ascii="宋体" w:hAnsi="宋体" w:eastAsia="宋体" w:cs="宋体"/>
          <w:color w:val="auto"/>
          <w:highlight w:val="none"/>
          <w:u w:val="none"/>
        </w:rPr>
        <w:sectPr>
          <w:footnotePr>
            <w:numFmt w:val="decimalEnclosedCircleChinese"/>
            <w:numRestart w:val="eachPage"/>
          </w:footnotePr>
          <w:pgSz w:w="11905" w:h="16838"/>
          <w:pgMar w:top="1474" w:right="1474" w:bottom="1474" w:left="1474" w:header="799" w:footer="907" w:gutter="0"/>
          <w:cols w:space="0" w:num="1"/>
          <w:rtlGutter w:val="0"/>
          <w:docGrid w:linePitch="271" w:charSpace="0"/>
        </w:sectPr>
      </w:pPr>
    </w:p>
    <w:p>
      <w:pPr>
        <w:pStyle w:val="4"/>
        <w:numPr>
          <w:ilvl w:val="0"/>
          <w:numId w:val="0"/>
        </w:numPr>
        <w:ind w:right="13" w:rightChars="0"/>
        <w:jc w:val="both"/>
        <w:rPr>
          <w:rFonts w:hint="eastAsia" w:ascii="宋体" w:hAnsi="宋体" w:eastAsia="宋体" w:cs="宋体"/>
          <w:color w:val="auto"/>
          <w:sz w:val="30"/>
          <w:highlight w:val="none"/>
        </w:rPr>
      </w:pPr>
    </w:p>
    <w:p>
      <w:pPr>
        <w:pStyle w:val="4"/>
        <w:numPr>
          <w:ilvl w:val="0"/>
          <w:numId w:val="0"/>
        </w:numPr>
        <w:ind w:right="13" w:rightChars="0"/>
        <w:jc w:val="center"/>
        <w:rPr>
          <w:rFonts w:hint="eastAsia" w:ascii="宋体" w:hAnsi="宋体" w:eastAsia="宋体" w:cs="宋体"/>
          <w:color w:val="auto"/>
          <w:sz w:val="30"/>
          <w:highlight w:val="none"/>
        </w:rPr>
      </w:pPr>
      <w:bookmarkStart w:id="40" w:name="_Toc5753"/>
      <w:r>
        <w:rPr>
          <w:rFonts w:hint="eastAsia" w:ascii="宋体" w:hAnsi="宋体" w:eastAsia="宋体" w:cs="宋体"/>
          <w:color w:val="auto"/>
          <w:sz w:val="30"/>
          <w:highlight w:val="none"/>
        </w:rPr>
        <w:t>下篇</w:t>
      </w:r>
      <w:r>
        <w:rPr>
          <w:rFonts w:hint="eastAsia" w:ascii="宋体" w:hAnsi="宋体" w:eastAsia="宋体" w:cs="宋体"/>
          <w:color w:val="auto"/>
          <w:sz w:val="30"/>
          <w:highlight w:val="none"/>
          <w:lang w:val="en-US"/>
        </w:rPr>
        <w:t xml:space="preserve">  </w:t>
      </w:r>
      <w:r>
        <w:rPr>
          <w:rFonts w:hint="eastAsia" w:ascii="宋体" w:hAnsi="宋体" w:eastAsia="宋体" w:cs="宋体"/>
          <w:color w:val="auto"/>
          <w:sz w:val="30"/>
          <w:highlight w:val="none"/>
        </w:rPr>
        <w:t>通用部分</w:t>
      </w:r>
      <w:bookmarkEnd w:id="20"/>
      <w:bookmarkEnd w:id="21"/>
      <w:bookmarkEnd w:id="40"/>
    </w:p>
    <w:p>
      <w:pPr>
        <w:pStyle w:val="2"/>
        <w:spacing w:before="10"/>
        <w:jc w:val="center"/>
        <w:rPr>
          <w:rFonts w:hint="eastAsia" w:ascii="宋体" w:hAnsi="宋体" w:eastAsia="宋体" w:cs="宋体"/>
          <w:b/>
          <w:color w:val="auto"/>
          <w:sz w:val="30"/>
          <w:highlight w:val="none"/>
        </w:rPr>
      </w:pPr>
      <w:r>
        <w:rPr>
          <w:rFonts w:hint="eastAsia" w:ascii="宋体" w:hAnsi="宋体" w:eastAsia="宋体" w:cs="宋体"/>
          <w:color w:val="auto"/>
          <w:highlight w:val="none"/>
        </w:rPr>
        <w:br w:type="column"/>
      </w:r>
      <w:bookmarkStart w:id="41" w:name="第一章__投标须知"/>
      <w:bookmarkEnd w:id="41"/>
      <w:bookmarkStart w:id="42" w:name="_Toc9294"/>
      <w:bookmarkStart w:id="43" w:name="_Toc29262"/>
      <w:r>
        <w:rPr>
          <w:rFonts w:hint="eastAsia" w:ascii="宋体" w:hAnsi="宋体" w:eastAsia="宋体" w:cs="宋体"/>
          <w:b/>
          <w:color w:val="auto"/>
          <w:sz w:val="30"/>
          <w:highlight w:val="none"/>
        </w:rPr>
        <w:t>第一章</w:t>
      </w:r>
      <w:r>
        <w:rPr>
          <w:rFonts w:hint="eastAsia" w:ascii="宋体" w:hAnsi="宋体" w:eastAsia="宋体" w:cs="宋体"/>
          <w:b/>
          <w:color w:val="auto"/>
          <w:sz w:val="30"/>
          <w:highlight w:val="none"/>
          <w:lang w:val="en-US"/>
        </w:rPr>
        <w:t xml:space="preserve">  </w:t>
      </w:r>
      <w:r>
        <w:rPr>
          <w:rFonts w:hint="eastAsia" w:ascii="宋体" w:hAnsi="宋体" w:eastAsia="宋体" w:cs="宋体"/>
          <w:b/>
          <w:color w:val="auto"/>
          <w:sz w:val="30"/>
          <w:highlight w:val="none"/>
        </w:rPr>
        <w:t>投标须知</w:t>
      </w:r>
      <w:bookmarkEnd w:id="42"/>
      <w:bookmarkEnd w:id="43"/>
    </w:p>
    <w:p>
      <w:pPr>
        <w:spacing w:line="360" w:lineRule="auto"/>
        <w:jc w:val="center"/>
        <w:outlineLvl w:val="1"/>
        <w:rPr>
          <w:rFonts w:hint="eastAsia" w:ascii="宋体" w:hAnsi="宋体" w:eastAsia="宋体" w:cs="宋体"/>
          <w:b/>
          <w:color w:val="auto"/>
          <w:sz w:val="28"/>
          <w:szCs w:val="28"/>
          <w:highlight w:val="none"/>
        </w:rPr>
      </w:pPr>
      <w:bookmarkStart w:id="44" w:name="第二章_评标办法"/>
      <w:bookmarkEnd w:id="44"/>
      <w:bookmarkStart w:id="45" w:name="（一）总__则"/>
      <w:bookmarkEnd w:id="45"/>
      <w:bookmarkStart w:id="46" w:name="_Toc6396"/>
      <w:bookmarkStart w:id="47" w:name="_Toc8601"/>
      <w:bookmarkStart w:id="48" w:name="_Toc25780"/>
      <w:r>
        <w:rPr>
          <w:rFonts w:hint="eastAsia" w:ascii="宋体" w:hAnsi="宋体" w:eastAsia="宋体" w:cs="宋体"/>
          <w:b/>
          <w:color w:val="auto"/>
          <w:sz w:val="28"/>
          <w:szCs w:val="28"/>
          <w:highlight w:val="none"/>
        </w:rPr>
        <w:t>（一）总  则</w:t>
      </w:r>
      <w:bookmarkEnd w:id="46"/>
    </w:p>
    <w:p>
      <w:pPr>
        <w:pStyle w:val="13"/>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1.合格的投标人</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1.1 投标人资质等级见招标公告（投标邀请书）。</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r>
        <w:rPr>
          <w:rFonts w:hint="eastAsia" w:ascii="宋体" w:hAnsi="宋体" w:eastAsia="宋体" w:cs="宋体"/>
          <w:b/>
          <w:bCs/>
          <w:color w:val="auto"/>
          <w:sz w:val="24"/>
          <w:highlight w:val="none"/>
        </w:rPr>
        <w:t>投标人不得存在下列情形之一：</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（1）为招标人不具有独立法人资格的附属机构（单位）；</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（2）为本招标项目前期准备提供设计或咨询服务的； </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（3）为本招标项目的监理人；</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（4）为本招标项目的代建人； </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（5）为本招标项目提供招标代理服务的； </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（6）与本招标项目的监理人或代建人或招标代理机构同为一个法定代表人的；</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（7）与本招标项目的监理人或代建人或招标代理机构存在控股或管理关系的；</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（8）被责令停业的； </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（9）被暂停或取消投标资格的； </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（10）财产被接管或冻结的； </w:t>
      </w:r>
    </w:p>
    <w:p>
      <w:pPr>
        <w:spacing w:line="360" w:lineRule="auto"/>
        <w:ind w:firstLine="480"/>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（11）</w:t>
      </w:r>
      <w:r>
        <w:rPr>
          <w:rFonts w:hint="eastAsia" w:ascii="宋体" w:hAnsi="宋体" w:eastAsia="宋体" w:cs="宋体"/>
          <w:b/>
          <w:bCs/>
          <w:color w:val="auto"/>
          <w:sz w:val="24"/>
          <w:highlight w:val="none"/>
        </w:rPr>
        <w:t>如本项目为重新招标，在之前投标中放弃中标资格的。</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1.3 </w:t>
      </w:r>
      <w:r>
        <w:rPr>
          <w:rFonts w:hint="eastAsia" w:ascii="宋体" w:hAnsi="宋体" w:eastAsia="宋体" w:cs="宋体"/>
          <w:b/>
          <w:bCs/>
          <w:color w:val="auto"/>
          <w:sz w:val="24"/>
          <w:highlight w:val="none"/>
        </w:rPr>
        <w:t>单位负责人为同一人或者存在控股、管理关系的不同单位，不得同时参加本招标项目同一标段的投标。</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1.4本项目采用评标办法中所述的方法确定合格投标人。</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2.踏勘现场</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应按照招标文件所述，自行对工程现场及周围环境进行踏勘现场以获得有关编制投标文件和签署合同所涉及现场的资料。踏勘现场所发生的自身费用由投标人自己承担。经招标人允许，投标人可为踏勘目的进入招标人的项目现场，但投标人不得因此使招标人承担有关的责任和蒙受损失。投标人应承担踏勘现场的责任和风险。</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3.招标资料</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招标人向投标人提供的所有数据和资料</w:t>
      </w: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是招标人现有的能被投标人利用的资料，招标人对投标人自行做出的任何推论、理解和结论均不负责任。</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4.投标费用</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投标人应承担其编制投标文件与递交投标文件等投标过程中所涉及的一切费用，不论投标结果如何，招标人将不予承担。</w:t>
      </w:r>
    </w:p>
    <w:p>
      <w:pPr>
        <w:pStyle w:val="5"/>
        <w:spacing w:line="360" w:lineRule="auto"/>
        <w:rPr>
          <w:rFonts w:hint="eastAsia" w:ascii="宋体" w:hAnsi="宋体" w:eastAsia="宋体" w:cs="宋体"/>
          <w:color w:val="auto"/>
          <w:sz w:val="28"/>
          <w:szCs w:val="28"/>
          <w:highlight w:val="none"/>
        </w:rPr>
      </w:pPr>
      <w:bookmarkStart w:id="49" w:name="_Toc30190"/>
      <w:bookmarkStart w:id="50" w:name="_Toc208106831"/>
      <w:r>
        <w:rPr>
          <w:rFonts w:hint="eastAsia" w:ascii="宋体" w:hAnsi="宋体" w:eastAsia="宋体" w:cs="宋体"/>
          <w:color w:val="auto"/>
          <w:sz w:val="28"/>
          <w:szCs w:val="28"/>
          <w:highlight w:val="none"/>
        </w:rPr>
        <w:t>（二） 招标文件</w:t>
      </w:r>
      <w:bookmarkEnd w:id="49"/>
      <w:bookmarkEnd w:id="50"/>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5.招标文件的组成：</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5.1招标文件包括下列内容：</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5.1.1本招标文件的全部内容，包括工程量清单和图纸；</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5.1.2本工程所有发出的答疑文件及书面通知。</w:t>
      </w:r>
    </w:p>
    <w:p>
      <w:pPr>
        <w:pStyle w:val="13"/>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5.2 投标人获取招标文件后，应仔细检查招标文件的所有内容，如有残缺等问题应及时向招标人提出，否则，由此引起的后果由投标人自己承担。</w:t>
      </w:r>
      <w:r>
        <w:rPr>
          <w:rFonts w:hint="eastAsia" w:ascii="宋体" w:hAnsi="宋体" w:eastAsia="宋体" w:cs="宋体"/>
          <w:b/>
          <w:color w:val="auto"/>
          <w:sz w:val="24"/>
          <w:szCs w:val="24"/>
          <w:highlight w:val="none"/>
        </w:rPr>
        <w:t>投标人同时应认真审阅招标文件中所有的事项、格式、条款和规范要求等，若投标人的投标文件没有按招标文件要求提交全部资料及自己理解产生的误差，或投标文件没有对招标文件做出实质性响应，其风险由投标人自行承担，并根据有关条款规定，该投标有可能被拒绝。</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6.招标文件的澄清</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投标人若对招标文件有任何疑问，应在投标截止时间前十日向招标人提出澄清要求。招标文件的澄清将在</w:t>
      </w:r>
      <w:r>
        <w:rPr>
          <w:rFonts w:hint="eastAsia" w:ascii="宋体" w:hAnsi="宋体" w:eastAsia="宋体" w:cs="宋体"/>
          <w:color w:val="auto"/>
          <w:sz w:val="24"/>
          <w:highlight w:val="none"/>
        </w:rPr>
        <w:t>铜陵市公共资源交易网</w:t>
      </w:r>
      <w:r>
        <w:rPr>
          <w:rFonts w:hint="eastAsia" w:ascii="宋体" w:hAnsi="宋体" w:eastAsia="宋体" w:cs="宋体"/>
          <w:color w:val="auto"/>
          <w:sz w:val="24"/>
          <w:szCs w:val="24"/>
          <w:highlight w:val="none"/>
        </w:rPr>
        <w:t>公布，但不指明澄清问题的来源。所有潜在投标人均有义务自行查看该澄清内容。</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7.招标文件的修改</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7.1 招标文件发出后，招标人可对招标文件进行必要的修改。</w:t>
      </w:r>
    </w:p>
    <w:p>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7.2 招标文件的修改将在铜陵市公共资源交易网发布，该修改内容作为招标文件的组成部分，具有约束作用。</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7.3当招标文件、招标文件的澄清、修改、补充等在同一内容的表述上不一致时，以最后发出的修改文件为准。</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7.4为使投标人在编制投标文件时有充分的时间对招标文件的澄清、修改、补充等内容进行研究，如果澄清的内容影响投标文件编制的，且发出时间距投标截止时间不足15天的，招标人将依法酌情延长投标截止时间，具体时间将在招标文件的修改、补充通知中予以明确。</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7.5</w:t>
      </w:r>
      <w:r>
        <w:rPr>
          <w:rFonts w:hint="eastAsia" w:ascii="宋体" w:hAnsi="宋体" w:eastAsia="宋体" w:cs="宋体"/>
          <w:b/>
          <w:bCs/>
          <w:color w:val="auto"/>
          <w:sz w:val="24"/>
          <w:highlight w:val="none"/>
        </w:rPr>
        <w:t>如果投标人在答疑时间截止前未对招标文件有关条款提出质疑，视为充分理解招标文件所有内容，一旦递交投标文件，则认为该投标人接受招标文件所有条款，不再接受对招标文件的异议或投诉。</w:t>
      </w:r>
    </w:p>
    <w:p>
      <w:pPr>
        <w:pStyle w:val="5"/>
        <w:spacing w:line="360" w:lineRule="auto"/>
        <w:rPr>
          <w:rFonts w:hint="eastAsia" w:ascii="宋体" w:hAnsi="宋体" w:eastAsia="宋体" w:cs="宋体"/>
          <w:color w:val="auto"/>
          <w:sz w:val="28"/>
          <w:szCs w:val="28"/>
          <w:highlight w:val="none"/>
        </w:rPr>
      </w:pPr>
      <w:bookmarkStart w:id="51" w:name="_Toc208106832"/>
      <w:bookmarkStart w:id="52" w:name="_Toc32665"/>
      <w:r>
        <w:rPr>
          <w:rFonts w:hint="eastAsia" w:ascii="宋体" w:hAnsi="宋体" w:eastAsia="宋体" w:cs="宋体"/>
          <w:color w:val="auto"/>
          <w:sz w:val="28"/>
          <w:szCs w:val="28"/>
          <w:highlight w:val="none"/>
        </w:rPr>
        <w:t>（三）投标文件的编制</w:t>
      </w:r>
      <w:bookmarkEnd w:id="51"/>
      <w:bookmarkEnd w:id="52"/>
    </w:p>
    <w:p>
      <w:pPr>
        <w:pStyle w:val="18"/>
        <w:adjustRightInd/>
        <w:snapToGrid/>
        <w:spacing w:before="0" w:beforeLines="0" w:after="0" w:afterLines="0" w:line="360" w:lineRule="auto"/>
        <w:ind w:left="0"/>
        <w:jc w:val="both"/>
        <w:rPr>
          <w:rFonts w:hint="eastAsia" w:ascii="宋体" w:hAnsi="宋体" w:eastAsia="宋体" w:cs="宋体"/>
          <w:b/>
          <w:bCs/>
          <w:color w:val="auto"/>
          <w:highlight w:val="none"/>
        </w:rPr>
      </w:pPr>
      <w:r>
        <w:rPr>
          <w:rFonts w:hint="eastAsia" w:ascii="宋体" w:hAnsi="宋体" w:eastAsia="宋体" w:cs="宋体"/>
          <w:b/>
          <w:bCs/>
          <w:color w:val="auto"/>
          <w:highlight w:val="none"/>
        </w:rPr>
        <w:t>8.投标文件的语言及度量衡单位</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8.1投标文件和与投标有关的所有文件均应使用中文。投标人随投标文件提供的证明文件和印刷品可以是其它语言，但应当附</w:t>
      </w:r>
      <w:r>
        <w:rPr>
          <w:rFonts w:hint="eastAsia" w:ascii="宋体" w:hAnsi="宋体" w:eastAsia="宋体" w:cs="宋体"/>
          <w:bCs/>
          <w:color w:val="auto"/>
          <w:sz w:val="24"/>
          <w:highlight w:val="none"/>
        </w:rPr>
        <w:t>有经权威翻译机构核准的</w:t>
      </w:r>
      <w:r>
        <w:rPr>
          <w:rFonts w:hint="eastAsia" w:ascii="宋体" w:hAnsi="宋体" w:eastAsia="宋体" w:cs="宋体"/>
          <w:color w:val="auto"/>
          <w:sz w:val="24"/>
          <w:highlight w:val="none"/>
        </w:rPr>
        <w:t>中文译文或得到评标委员会的认可。</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8.2除工程规范另有规定外，投标文件使用的度量衡单位，均采用中华人民共和国法定计量单位。</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9.投标文件的组成和内容</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9.1投标文件由投标资格初步评审、商务标、资格审查及技术标组成，各部分内容详见本招标文件第四章“投标文件格式”。</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9.2投标人必须保证其标书中所有资料的真实性。若有弄虚作假及其它违法违规行为的，由公共资源交易监督管理部门依照相关法律法规进行处理，记入不良行为记录。</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 xml:space="preserve">10.投标文件格式    </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投标人提交的投标文件应当使用招标文件所提供的投标文件格式编制，表格可以按规定格式扩展（需符合</w:t>
      </w:r>
      <w:r>
        <w:rPr>
          <w:rFonts w:hint="eastAsia" w:ascii="宋体" w:hAnsi="宋体" w:eastAsia="宋体" w:cs="宋体"/>
          <w:color w:val="auto"/>
          <w:sz w:val="24"/>
          <w:szCs w:val="24"/>
          <w:highlight w:val="none"/>
          <w:lang w:val="en-US"/>
        </w:rPr>
        <w:t>最新的</w:t>
      </w:r>
      <w:r>
        <w:rPr>
          <w:rFonts w:hint="eastAsia" w:ascii="宋体" w:hAnsi="宋体" w:eastAsia="宋体" w:cs="宋体"/>
          <w:color w:val="auto"/>
          <w:sz w:val="24"/>
          <w:szCs w:val="24"/>
          <w:highlight w:val="none"/>
        </w:rPr>
        <w:t>安徽省建设工程计价依据）。</w:t>
      </w:r>
    </w:p>
    <w:p>
      <w:pPr>
        <w:pStyle w:val="13"/>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11.投标报价 </w:t>
      </w:r>
      <w:r>
        <w:rPr>
          <w:rFonts w:hint="eastAsia" w:ascii="宋体" w:hAnsi="宋体" w:eastAsia="宋体" w:cs="宋体"/>
          <w:color w:val="auto"/>
          <w:sz w:val="24"/>
          <w:szCs w:val="24"/>
          <w:highlight w:val="none"/>
        </w:rPr>
        <w:t xml:space="preserve">   </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投标人应仔细阅读招标文件，了解拟投标合同段的全部工程内容。投标人的投标报价应是招标文件所确定的招标范围内全部工程内容的价格体现，但其投标报价不得低于投标人个别成本价。投标人的投标报价，应是在满足招标文件规定工期、质量要求下，完成本项目招标工程范围的全部工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11.2本招标文件项下的合同承包方式采用总价包干形式（但暂列金除外） ，</w:t>
      </w:r>
      <w:r>
        <w:rPr>
          <w:rFonts w:hint="eastAsia" w:ascii="宋体" w:hAnsi="宋体" w:eastAsia="宋体" w:cs="宋体"/>
          <w:color w:val="auto"/>
          <w:spacing w:val="-6"/>
          <w:sz w:val="24"/>
          <w:szCs w:val="24"/>
          <w:highlight w:val="none"/>
        </w:rPr>
        <w:t>投标人应按照招标文件给定的设备数量、技术参数分项报出成套设备的单价、总价</w:t>
      </w:r>
      <w:r>
        <w:rPr>
          <w:rFonts w:hint="eastAsia" w:ascii="宋体" w:hAnsi="宋体" w:eastAsia="宋体" w:cs="宋体"/>
          <w:color w:val="auto"/>
          <w:spacing w:val="-6"/>
          <w:sz w:val="24"/>
          <w:szCs w:val="24"/>
          <w:highlight w:val="none"/>
          <w:lang w:eastAsia="zh-CN"/>
        </w:rPr>
        <w:t>及</w:t>
      </w:r>
      <w:r>
        <w:rPr>
          <w:rFonts w:hint="eastAsia" w:ascii="宋体" w:hAnsi="宋体" w:eastAsia="宋体" w:cs="宋体"/>
          <w:strike w:val="0"/>
          <w:dstrike w:val="0"/>
          <w:color w:val="auto"/>
          <w:spacing w:val="-6"/>
          <w:sz w:val="24"/>
          <w:szCs w:val="24"/>
          <w:highlight w:val="none"/>
        </w:rPr>
        <w:t>电梯安装费用（</w:t>
      </w:r>
      <w:r>
        <w:rPr>
          <w:rFonts w:hint="eastAsia" w:ascii="宋体" w:hAnsi="宋体" w:eastAsia="宋体" w:cs="宋体"/>
          <w:strike w:val="0"/>
          <w:dstrike w:val="0"/>
          <w:color w:val="auto"/>
          <w:spacing w:val="-6"/>
          <w:sz w:val="24"/>
          <w:szCs w:val="24"/>
          <w:highlight w:val="none"/>
          <w:lang w:eastAsia="zh-CN"/>
        </w:rPr>
        <w:t>交钥匙工程</w:t>
      </w:r>
      <w:r>
        <w:rPr>
          <w:rFonts w:hint="eastAsia" w:ascii="宋体" w:hAnsi="宋体" w:eastAsia="宋体" w:cs="宋体"/>
          <w:strike w:val="0"/>
          <w:dstrike w:val="0"/>
          <w:color w:val="auto"/>
          <w:spacing w:val="-6"/>
          <w:sz w:val="24"/>
          <w:szCs w:val="24"/>
          <w:highlight w:val="none"/>
        </w:rPr>
        <w:t>），</w:t>
      </w:r>
      <w:r>
        <w:rPr>
          <w:rFonts w:hint="eastAsia" w:ascii="宋体" w:hAnsi="宋体" w:eastAsia="宋体" w:cs="宋体"/>
          <w:color w:val="auto"/>
          <w:spacing w:val="-6"/>
          <w:sz w:val="24"/>
          <w:szCs w:val="24"/>
          <w:highlight w:val="none"/>
        </w:rPr>
        <w:t>中标人须提前配合土建方井道施工，以确保不出现偏差，中标人中标后需与土建施工单位配合进行井道尺寸交接，确认【双方签署交接确认函】，</w:t>
      </w:r>
      <w:r>
        <w:rPr>
          <w:rFonts w:hint="eastAsia" w:ascii="宋体" w:hAnsi="宋体" w:eastAsia="宋体" w:cs="宋体"/>
          <w:color w:val="auto"/>
          <w:spacing w:val="-6"/>
          <w:sz w:val="24"/>
          <w:szCs w:val="24"/>
          <w:highlight w:val="none"/>
          <w:lang w:eastAsia="zh-CN"/>
        </w:rPr>
        <w:t>并承担电梯底坑、机房、</w:t>
      </w:r>
      <w:r>
        <w:rPr>
          <w:rFonts w:hint="eastAsia" w:ascii="宋体" w:hAnsi="宋体" w:eastAsia="宋体" w:cs="宋体"/>
          <w:color w:val="auto"/>
          <w:spacing w:val="-6"/>
          <w:sz w:val="24"/>
          <w:szCs w:val="24"/>
          <w:highlight w:val="none"/>
        </w:rPr>
        <w:t>井道调整</w:t>
      </w:r>
      <w:r>
        <w:rPr>
          <w:rFonts w:hint="eastAsia" w:ascii="宋体" w:hAnsi="宋体" w:eastAsia="宋体" w:cs="宋体"/>
          <w:color w:val="auto"/>
          <w:spacing w:val="-6"/>
          <w:sz w:val="24"/>
          <w:szCs w:val="24"/>
          <w:highlight w:val="none"/>
          <w:lang w:eastAsia="zh-CN"/>
        </w:rPr>
        <w:t>加建或改造</w:t>
      </w:r>
      <w:r>
        <w:rPr>
          <w:rFonts w:hint="eastAsia" w:ascii="宋体" w:hAnsi="宋体" w:eastAsia="宋体" w:cs="宋体"/>
          <w:color w:val="auto"/>
          <w:spacing w:val="-6"/>
          <w:sz w:val="24"/>
          <w:szCs w:val="24"/>
          <w:highlight w:val="none"/>
        </w:rPr>
        <w:t>费用</w:t>
      </w:r>
      <w:r>
        <w:rPr>
          <w:rFonts w:hint="eastAsia" w:ascii="宋体" w:hAnsi="宋体" w:eastAsia="宋体" w:cs="宋体"/>
          <w:color w:val="auto"/>
          <w:spacing w:val="-6"/>
          <w:sz w:val="24"/>
          <w:szCs w:val="24"/>
          <w:highlight w:val="none"/>
          <w:lang w:eastAsia="zh-CN"/>
        </w:rPr>
        <w:t>，承担</w:t>
      </w:r>
      <w:r>
        <w:rPr>
          <w:rFonts w:hint="eastAsia" w:ascii="宋体" w:hAnsi="宋体" w:eastAsia="宋体" w:cs="宋体"/>
          <w:color w:val="auto"/>
          <w:spacing w:val="-6"/>
          <w:sz w:val="24"/>
          <w:szCs w:val="24"/>
          <w:highlight w:val="none"/>
        </w:rPr>
        <w:t>电梯</w:t>
      </w:r>
      <w:r>
        <w:rPr>
          <w:rFonts w:hint="eastAsia" w:ascii="宋体" w:hAnsi="宋体" w:eastAsia="宋体" w:cs="宋体"/>
          <w:color w:val="auto"/>
          <w:spacing w:val="-6"/>
          <w:sz w:val="24"/>
          <w:szCs w:val="24"/>
          <w:highlight w:val="none"/>
          <w:lang w:eastAsia="zh-CN"/>
        </w:rPr>
        <w:t>吊运、</w:t>
      </w:r>
      <w:r>
        <w:rPr>
          <w:rFonts w:hint="eastAsia" w:ascii="宋体" w:hAnsi="宋体" w:eastAsia="宋体" w:cs="宋体"/>
          <w:color w:val="auto"/>
          <w:spacing w:val="-6"/>
          <w:sz w:val="24"/>
          <w:szCs w:val="24"/>
          <w:highlight w:val="none"/>
        </w:rPr>
        <w:t>调试、相关部门检测验收合格准许运行的所有费用，以及</w:t>
      </w:r>
      <w:r>
        <w:rPr>
          <w:rFonts w:hint="eastAsia" w:ascii="宋体" w:hAnsi="宋体" w:eastAsia="宋体" w:cs="宋体"/>
          <w:color w:val="auto"/>
          <w:spacing w:val="-6"/>
          <w:sz w:val="24"/>
          <w:szCs w:val="24"/>
          <w:highlight w:val="none"/>
          <w:lang w:eastAsia="zh-CN"/>
        </w:rPr>
        <w:t>总包方的</w:t>
      </w:r>
      <w:r>
        <w:rPr>
          <w:rFonts w:hint="eastAsia" w:ascii="宋体" w:hAnsi="宋体" w:eastAsia="宋体" w:cs="宋体"/>
          <w:color w:val="auto"/>
          <w:spacing w:val="-6"/>
          <w:sz w:val="24"/>
          <w:szCs w:val="24"/>
          <w:highlight w:val="none"/>
        </w:rPr>
        <w:t>配合</w:t>
      </w:r>
      <w:r>
        <w:rPr>
          <w:rFonts w:hint="eastAsia" w:ascii="宋体" w:hAnsi="宋体" w:eastAsia="宋体" w:cs="宋体"/>
          <w:color w:val="auto"/>
          <w:spacing w:val="-6"/>
          <w:sz w:val="24"/>
          <w:szCs w:val="24"/>
          <w:highlight w:val="none"/>
          <w:lang w:eastAsia="zh-CN"/>
        </w:rPr>
        <w:t>服务</w:t>
      </w:r>
      <w:r>
        <w:rPr>
          <w:rFonts w:hint="eastAsia" w:ascii="宋体" w:hAnsi="宋体" w:eastAsia="宋体" w:cs="宋体"/>
          <w:color w:val="auto"/>
          <w:spacing w:val="-6"/>
          <w:sz w:val="24"/>
          <w:szCs w:val="24"/>
          <w:highlight w:val="none"/>
        </w:rPr>
        <w:t>费</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6"/>
          <w:sz w:val="24"/>
          <w:szCs w:val="24"/>
          <w:highlight w:val="none"/>
          <w:lang w:val="en-US" w:eastAsia="zh-CN"/>
        </w:rPr>
        <w:t>按</w:t>
      </w:r>
      <w:r>
        <w:rPr>
          <w:rFonts w:hint="eastAsia" w:ascii="宋体" w:hAnsi="宋体" w:eastAsia="宋体" w:cs="宋体"/>
          <w:b/>
          <w:bCs/>
          <w:color w:val="auto"/>
          <w:sz w:val="24"/>
          <w:szCs w:val="24"/>
          <w:highlight w:val="none"/>
        </w:rPr>
        <w:t>安装</w:t>
      </w:r>
      <w:r>
        <w:rPr>
          <w:rFonts w:hint="eastAsia" w:ascii="宋体" w:hAnsi="宋体" w:eastAsia="宋体" w:cs="宋体"/>
          <w:b/>
          <w:bCs/>
          <w:color w:val="auto"/>
          <w:sz w:val="24"/>
          <w:szCs w:val="24"/>
          <w:highlight w:val="none"/>
          <w:lang w:eastAsia="zh-CN"/>
        </w:rPr>
        <w:t>合同</w:t>
      </w:r>
      <w:r>
        <w:rPr>
          <w:rFonts w:hint="eastAsia" w:ascii="宋体" w:hAnsi="宋体" w:eastAsia="宋体" w:cs="宋体"/>
          <w:b/>
          <w:bCs/>
          <w:color w:val="auto"/>
          <w:sz w:val="24"/>
          <w:szCs w:val="24"/>
          <w:highlight w:val="none"/>
        </w:rPr>
        <w:t>价格（不含设备费）的3%</w:t>
      </w:r>
      <w:r>
        <w:rPr>
          <w:rFonts w:hint="eastAsia" w:ascii="宋体" w:hAnsi="宋体" w:eastAsia="宋体" w:cs="宋体"/>
          <w:b/>
          <w:bCs/>
          <w:color w:val="auto"/>
          <w:sz w:val="24"/>
          <w:szCs w:val="24"/>
          <w:highlight w:val="none"/>
          <w:lang w:eastAsia="zh-CN"/>
        </w:rPr>
        <w:t>计取）均</w:t>
      </w:r>
      <w:r>
        <w:rPr>
          <w:rFonts w:hint="eastAsia" w:ascii="宋体" w:hAnsi="宋体" w:eastAsia="宋体" w:cs="宋体"/>
          <w:b/>
          <w:bCs/>
          <w:color w:val="auto"/>
          <w:spacing w:val="-6"/>
          <w:sz w:val="24"/>
          <w:szCs w:val="24"/>
          <w:highlight w:val="none"/>
        </w:rPr>
        <w:t>包含在投标报价内，</w:t>
      </w:r>
      <w:r>
        <w:rPr>
          <w:rFonts w:hint="eastAsia" w:ascii="宋体" w:hAnsi="宋体" w:eastAsia="宋体" w:cs="宋体"/>
          <w:color w:val="auto"/>
          <w:spacing w:val="-6"/>
          <w:sz w:val="24"/>
          <w:szCs w:val="24"/>
          <w:highlight w:val="none"/>
        </w:rPr>
        <w:t>本项目为交钥匙工程报价。投标人的投标设备总价应含：成套的设备费、</w:t>
      </w:r>
      <w:r>
        <w:rPr>
          <w:rFonts w:hint="eastAsia" w:ascii="宋体" w:hAnsi="宋体" w:eastAsia="宋体" w:cs="宋体"/>
          <w:color w:val="auto"/>
          <w:spacing w:val="-6"/>
          <w:sz w:val="24"/>
          <w:szCs w:val="24"/>
          <w:highlight w:val="none"/>
          <w:lang w:eastAsia="zh-CN"/>
        </w:rPr>
        <w:t>安装调试费、</w:t>
      </w:r>
      <w:r>
        <w:rPr>
          <w:rFonts w:hint="eastAsia" w:ascii="宋体" w:hAnsi="宋体" w:eastAsia="宋体" w:cs="宋体"/>
          <w:color w:val="auto"/>
          <w:spacing w:val="-6"/>
          <w:sz w:val="24"/>
          <w:szCs w:val="24"/>
          <w:highlight w:val="none"/>
        </w:rPr>
        <w:t>备品备件费、各种税费、检测费、包装费、运杂费、装卸及保险费、培训费等产品</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eastAsia="zh-CN"/>
        </w:rPr>
        <w:t>安</w:t>
      </w:r>
      <w:r>
        <w:rPr>
          <w:rFonts w:hint="eastAsia" w:ascii="宋体" w:hAnsi="宋体" w:eastAsia="宋体" w:cs="宋体"/>
          <w:color w:val="auto"/>
          <w:sz w:val="24"/>
          <w:szCs w:val="24"/>
          <w:highlight w:val="none"/>
          <w:lang w:val="en-US" w:eastAsia="zh-CN"/>
        </w:rPr>
        <w:t>装</w:t>
      </w:r>
      <w:r>
        <w:rPr>
          <w:rFonts w:hint="eastAsia" w:ascii="宋体" w:hAnsi="宋体" w:eastAsia="宋体" w:cs="宋体"/>
          <w:color w:val="auto"/>
          <w:sz w:val="24"/>
          <w:szCs w:val="24"/>
          <w:highlight w:val="none"/>
          <w:lang w:eastAsia="zh-CN"/>
        </w:rPr>
        <w:t>验收合格交付招标人使用及完成售后服务</w:t>
      </w:r>
      <w:r>
        <w:rPr>
          <w:rFonts w:hint="eastAsia" w:ascii="宋体" w:hAnsi="宋体" w:eastAsia="宋体" w:cs="宋体"/>
          <w:color w:val="auto"/>
          <w:spacing w:val="-6"/>
          <w:sz w:val="24"/>
          <w:szCs w:val="24"/>
          <w:highlight w:val="none"/>
        </w:rPr>
        <w:t>的一切费用。在</w:t>
      </w:r>
      <w:r>
        <w:rPr>
          <w:rFonts w:hint="eastAsia" w:ascii="宋体" w:hAnsi="宋体" w:eastAsia="宋体" w:cs="宋体"/>
          <w:color w:val="auto"/>
          <w:spacing w:val="-6"/>
          <w:sz w:val="24"/>
          <w:szCs w:val="24"/>
          <w:highlight w:val="none"/>
          <w:lang w:eastAsia="zh-CN"/>
        </w:rPr>
        <w:t>报</w:t>
      </w:r>
      <w:r>
        <w:rPr>
          <w:rFonts w:hint="eastAsia" w:ascii="宋体" w:hAnsi="宋体" w:eastAsia="宋体" w:cs="宋体"/>
          <w:color w:val="auto"/>
          <w:spacing w:val="-6"/>
          <w:sz w:val="24"/>
          <w:szCs w:val="24"/>
          <w:highlight w:val="none"/>
        </w:rPr>
        <w:t>价内所能提供的的备品备件列表注明。投标设备涉及的专利费用，招标人均已认为包含在投标报价中。投标设备涉及到的专利问题，招标人均不对此承担任何责任。</w:t>
      </w:r>
    </w:p>
    <w:p>
      <w:pPr>
        <w:spacing w:line="360" w:lineRule="auto"/>
        <w:ind w:firstLine="480" w:firstLineChars="200"/>
        <w:rPr>
          <w:rFonts w:hint="eastAsia" w:ascii="宋体" w:hAnsi="宋体" w:eastAsia="宋体" w:cs="宋体"/>
          <w:color w:val="auto"/>
          <w:sz w:val="30"/>
          <w:szCs w:val="30"/>
          <w:highlight w:val="none"/>
        </w:rPr>
      </w:pPr>
      <w:r>
        <w:rPr>
          <w:rFonts w:hint="eastAsia" w:ascii="宋体" w:hAnsi="宋体" w:eastAsia="宋体" w:cs="宋体"/>
          <w:bCs/>
          <w:color w:val="auto"/>
          <w:sz w:val="24"/>
          <w:highlight w:val="none"/>
        </w:rPr>
        <w:t>11.3投标报价还应考虑招标文件所确定招标范围内的材料或设备费、加工制作费、运输费等价格体现，以及所包含价格可能发生的价格上涨风险费用（供货期内）。</w:t>
      </w:r>
    </w:p>
    <w:p>
      <w:pPr>
        <w:pStyle w:val="13"/>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11.4</w:t>
      </w:r>
      <w:r>
        <w:rPr>
          <w:rFonts w:hint="eastAsia" w:ascii="宋体" w:hAnsi="宋体" w:eastAsia="宋体" w:cs="宋体"/>
          <w:bCs/>
          <w:color w:val="auto"/>
          <w:sz w:val="24"/>
          <w:szCs w:val="24"/>
          <w:highlight w:val="none"/>
        </w:rPr>
        <w:t>投标报价编制依据</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11.4.1招标文件；</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11.4.2设计图纸；</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11.4.3工程量清单；</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11.4.4澄清、补充文件中提出的工程技术、质量、工期、承包范围、工器具及设备清单；</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11.4.5施工组织设计及施工方案；</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11.4.6质量验收规范等国家、行业、地方有关技术标准、规范；</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本工程涉及的人工、材料、机械台班的市场价格；</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施工期间的风险因素。</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11.5投标人的费用项目编制原则</w:t>
      </w:r>
    </w:p>
    <w:p>
      <w:pPr>
        <w:pStyle w:val="13"/>
        <w:spacing w:line="360" w:lineRule="auto"/>
        <w:ind w:firstLine="480" w:firstLineChars="200"/>
        <w:rPr>
          <w:rFonts w:hint="eastAsia" w:ascii="宋体" w:hAnsi="宋体" w:eastAsia="宋体" w:cs="宋体"/>
          <w:color w:val="auto"/>
          <w:spacing w:val="-2"/>
          <w:sz w:val="24"/>
          <w:szCs w:val="24"/>
          <w:highlight w:val="none"/>
        </w:rPr>
      </w:pPr>
      <w:r>
        <w:rPr>
          <w:rFonts w:hint="eastAsia" w:ascii="宋体" w:hAnsi="宋体" w:eastAsia="宋体" w:cs="宋体"/>
          <w:color w:val="auto"/>
          <w:sz w:val="24"/>
          <w:szCs w:val="24"/>
          <w:highlight w:val="none"/>
        </w:rPr>
        <w:t>11.6</w:t>
      </w:r>
      <w:r>
        <w:rPr>
          <w:rFonts w:hint="eastAsia" w:ascii="宋体" w:hAnsi="宋体" w:eastAsia="宋体" w:cs="宋体"/>
          <w:color w:val="auto"/>
          <w:spacing w:val="-2"/>
          <w:sz w:val="24"/>
          <w:szCs w:val="24"/>
          <w:highlight w:val="none"/>
        </w:rPr>
        <w:t>投标人根据招标工程量清单要求，分别报综合单价和总价。</w:t>
      </w:r>
    </w:p>
    <w:p>
      <w:pPr>
        <w:pStyle w:val="13"/>
        <w:spacing w:line="360" w:lineRule="auto"/>
        <w:ind w:firstLine="480" w:firstLineChars="200"/>
        <w:rPr>
          <w:rFonts w:hint="eastAsia" w:ascii="宋体" w:hAnsi="宋体" w:eastAsia="宋体" w:cs="宋体"/>
          <w:color w:val="auto"/>
          <w:spacing w:val="-4"/>
          <w:sz w:val="24"/>
          <w:szCs w:val="24"/>
          <w:highlight w:val="none"/>
        </w:rPr>
      </w:pPr>
      <w:r>
        <w:rPr>
          <w:rFonts w:hint="eastAsia" w:ascii="宋体" w:hAnsi="宋体" w:eastAsia="宋体" w:cs="宋体"/>
          <w:color w:val="auto"/>
          <w:sz w:val="24"/>
          <w:szCs w:val="24"/>
          <w:highlight w:val="none"/>
        </w:rPr>
        <w:t xml:space="preserve">11.7 </w:t>
      </w:r>
      <w:r>
        <w:rPr>
          <w:rFonts w:hint="eastAsia" w:ascii="宋体" w:hAnsi="宋体" w:eastAsia="宋体" w:cs="宋体"/>
          <w:color w:val="auto"/>
          <w:spacing w:val="-4"/>
          <w:sz w:val="24"/>
          <w:szCs w:val="24"/>
          <w:highlight w:val="none"/>
        </w:rPr>
        <w:t>中标后的投标综合单价不再调整（以合同约定为准）。</w:t>
      </w:r>
    </w:p>
    <w:p>
      <w:pPr>
        <w:spacing w:before="78" w:line="359" w:lineRule="auto"/>
        <w:ind w:right="88" w:firstLine="498"/>
        <w:rPr>
          <w:rFonts w:hint="eastAsia" w:ascii="宋体" w:hAnsi="宋体" w:eastAsia="宋体" w:cs="宋体"/>
          <w:color w:val="auto"/>
          <w:spacing w:val="-4"/>
          <w:sz w:val="24"/>
          <w:szCs w:val="24"/>
          <w:highlight w:val="none"/>
        </w:rPr>
      </w:pPr>
      <w:r>
        <w:rPr>
          <w:rFonts w:hint="eastAsia" w:ascii="宋体" w:hAnsi="宋体" w:eastAsia="宋体" w:cs="宋体"/>
          <w:color w:val="auto"/>
          <w:spacing w:val="-7"/>
          <w:sz w:val="24"/>
          <w:szCs w:val="24"/>
          <w:highlight w:val="none"/>
        </w:rPr>
        <w:t>11.8</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7"/>
          <w:sz w:val="24"/>
          <w:szCs w:val="24"/>
          <w:highlight w:val="none"/>
        </w:rPr>
        <w:t>除非招标人对招标文件予以修改、更正，否则投标人应按招标人提供的工程量清单</w:t>
      </w:r>
      <w:r>
        <w:rPr>
          <w:rFonts w:hint="eastAsia" w:ascii="宋体" w:hAnsi="宋体" w:eastAsia="宋体" w:cs="宋体"/>
          <w:color w:val="auto"/>
          <w:spacing w:val="5"/>
          <w:sz w:val="24"/>
          <w:szCs w:val="24"/>
          <w:highlight w:val="none"/>
        </w:rPr>
        <w:t>中列出的工程项目和工程量逐项填报综合单价和合价。投标人不得在工程量清单中任意增</w:t>
      </w:r>
      <w:r>
        <w:rPr>
          <w:rFonts w:hint="eastAsia" w:ascii="宋体" w:hAnsi="宋体" w:eastAsia="宋体" w:cs="宋体"/>
          <w:color w:val="auto"/>
          <w:spacing w:val="-3"/>
          <w:sz w:val="24"/>
          <w:szCs w:val="24"/>
          <w:highlight w:val="none"/>
        </w:rPr>
        <w:t>删、修改清单项目与工程量及项目排列顺序。</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除非交易文件中另有规定，投标人在工程量清单报价书中所报的综合单价和合价、以及投标报价汇总表中的投标报价均包括完成招标文件规定的全部工程内容及为达到质量和工期目标、安全文明、环境保护等要求的直接费、间接费、利润、税金、风险费等所有费用。为满足工程建设标准和技术规范</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招标文件</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要求所发生的费用应包括在投标报价中。投标报价为投标人在投标文件中提出的各项支付金额的总和。每一清单项目只允许有一个报价，任何有选择的报价将不予接受。投标人未填综合单价或合价的清单项目，将被视为该项费用已包括在其他有价款的综合单价或合价以及投标总价内，投标人必须按合同要求完成工程量清单中未填综合单价或合价的工程项目，任何与未填综合单价或合价的工程项目有关的工程价款，招标人将不再另行支付。</w:t>
      </w:r>
    </w:p>
    <w:p>
      <w:pPr>
        <w:spacing w:before="199" w:line="185" w:lineRule="auto"/>
        <w:ind w:firstLine="49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11.10</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3"/>
          <w:sz w:val="24"/>
          <w:szCs w:val="24"/>
          <w:highlight w:val="none"/>
        </w:rPr>
        <w:t>工程造价的确定与控制</w:t>
      </w:r>
    </w:p>
    <w:p>
      <w:pPr>
        <w:spacing w:line="305" w:lineRule="auto"/>
        <w:rPr>
          <w:rFonts w:hint="eastAsia" w:ascii="宋体" w:hAnsi="宋体" w:eastAsia="宋体" w:cs="宋体"/>
          <w:color w:val="auto"/>
          <w:sz w:val="21"/>
          <w:highlight w:val="none"/>
        </w:rPr>
      </w:pPr>
    </w:p>
    <w:p>
      <w:pPr>
        <w:spacing w:before="78" w:line="360" w:lineRule="auto"/>
        <w:ind w:left="3" w:right="103" w:firstLine="49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11.10.1</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2"/>
          <w:sz w:val="24"/>
          <w:szCs w:val="24"/>
          <w:highlight w:val="none"/>
        </w:rPr>
        <w:t>本工程经招标定标后，工程总造价在招标范围内包定，除经批准的设计变更、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经济签证外，其它工程造价增减均不予签证计价。</w:t>
      </w:r>
    </w:p>
    <w:p>
      <w:pPr>
        <w:spacing w:before="198" w:line="359" w:lineRule="auto"/>
        <w:ind w:left="4" w:firstLine="494"/>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11.10.2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7"/>
          <w:sz w:val="24"/>
          <w:szCs w:val="24"/>
          <w:highlight w:val="none"/>
        </w:rPr>
        <w:t>投标人应认真对照</w:t>
      </w:r>
      <w:r>
        <w:rPr>
          <w:rFonts w:hint="eastAsia" w:ascii="宋体" w:hAnsi="宋体" w:eastAsia="宋体" w:cs="宋体"/>
          <w:color w:val="auto"/>
          <w:spacing w:val="-7"/>
          <w:sz w:val="24"/>
          <w:szCs w:val="24"/>
          <w:highlight w:val="none"/>
          <w:lang w:eastAsia="zh-CN"/>
        </w:rPr>
        <w:t>建筑</w:t>
      </w:r>
      <w:r>
        <w:rPr>
          <w:rFonts w:hint="eastAsia" w:ascii="宋体" w:hAnsi="宋体" w:eastAsia="宋体" w:cs="宋体"/>
          <w:color w:val="auto"/>
          <w:spacing w:val="-7"/>
          <w:sz w:val="24"/>
          <w:szCs w:val="24"/>
          <w:highlight w:val="none"/>
        </w:rPr>
        <w:t>设计图纸等文件核对招标人提供的工程量清单，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发现工程量存在项目划分误差、计量单位误差、数量误差、遗漏项目的，必须在投标截止日</w:t>
      </w:r>
      <w:r>
        <w:rPr>
          <w:rFonts w:hint="eastAsia" w:cs="宋体"/>
          <w:color w:val="auto"/>
          <w:spacing w:val="-6"/>
          <w:sz w:val="24"/>
          <w:szCs w:val="24"/>
          <w:highlight w:val="none"/>
          <w:lang w:val="en-US" w:eastAsia="zh-CN"/>
        </w:rPr>
        <w:t>10</w:t>
      </w:r>
      <w:r>
        <w:rPr>
          <w:rFonts w:hint="eastAsia" w:ascii="宋体" w:hAnsi="宋体" w:eastAsia="宋体" w:cs="宋体"/>
          <w:color w:val="auto"/>
          <w:sz w:val="24"/>
          <w:szCs w:val="24"/>
          <w:highlight w:val="none"/>
        </w:rPr>
        <w:t>日前向招标人提出异议或修正要求。招标人经核实后确实存在误差且对工程造价影响较</w:t>
      </w:r>
      <w:r>
        <w:rPr>
          <w:rFonts w:hint="eastAsia" w:ascii="宋体" w:hAnsi="宋体" w:eastAsia="宋体" w:cs="宋体"/>
          <w:color w:val="auto"/>
          <w:spacing w:val="-2"/>
          <w:sz w:val="24"/>
          <w:szCs w:val="24"/>
          <w:highlight w:val="none"/>
        </w:rPr>
        <w:t>大的，应进行修正并重新公布准确的工程量清单。</w:t>
      </w:r>
    </w:p>
    <w:p>
      <w:pPr>
        <w:spacing w:before="201" w:line="360" w:lineRule="auto"/>
        <w:ind w:left="2" w:right="68" w:firstLine="49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11.11</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2"/>
          <w:sz w:val="24"/>
          <w:szCs w:val="24"/>
          <w:highlight w:val="none"/>
        </w:rPr>
        <w:t>中标人在工程量清单报价书中所报的综合单价非合同条款约束因素外一律不予调</w:t>
      </w:r>
      <w:r>
        <w:rPr>
          <w:rFonts w:hint="eastAsia" w:ascii="宋体" w:hAnsi="宋体" w:eastAsia="宋体" w:cs="宋体"/>
          <w:color w:val="auto"/>
          <w:spacing w:val="-12"/>
          <w:sz w:val="24"/>
          <w:szCs w:val="24"/>
          <w:highlight w:val="none"/>
        </w:rPr>
        <w:t>整。</w:t>
      </w:r>
    </w:p>
    <w:p>
      <w:pPr>
        <w:spacing w:before="199" w:line="359" w:lineRule="auto"/>
        <w:ind w:right="68" w:firstLine="49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11.12</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
          <w:sz w:val="24"/>
          <w:szCs w:val="24"/>
          <w:highlight w:val="none"/>
        </w:rPr>
        <w:t>本招标工程的施工地点为本须知前附表所述，投标人应自行到施工现场踏勘以充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分了解工地位置、情况、道路、储存空间、装卸限制及任何其它足以影响投标报价的情况，</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任何因忽视或误解施工场地情况而导致的索赔或工期延长申请将不被批准。对于受施工现场</w:t>
      </w:r>
      <w:r>
        <w:rPr>
          <w:rFonts w:hint="eastAsia" w:ascii="宋体" w:hAnsi="宋体" w:eastAsia="宋体" w:cs="宋体"/>
          <w:color w:val="auto"/>
          <w:spacing w:val="-10"/>
          <w:sz w:val="24"/>
          <w:szCs w:val="24"/>
          <w:highlight w:val="none"/>
        </w:rPr>
        <w:t>场地限制，如需要另外寻找场地解决临时住宿、材料及设备堆放，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0"/>
          <w:sz w:val="24"/>
          <w:szCs w:val="24"/>
          <w:highlight w:val="none"/>
        </w:rPr>
        <w:t>由此所产生的费用应包含</w:t>
      </w:r>
      <w:r>
        <w:rPr>
          <w:rFonts w:hint="eastAsia" w:ascii="宋体" w:hAnsi="宋体" w:eastAsia="宋体" w:cs="宋体"/>
          <w:color w:val="auto"/>
          <w:spacing w:val="-3"/>
          <w:sz w:val="24"/>
          <w:szCs w:val="24"/>
          <w:highlight w:val="none"/>
        </w:rPr>
        <w:t>在投标报价范围内，招标人不再承担该费用。</w:t>
      </w:r>
    </w:p>
    <w:p>
      <w:pPr>
        <w:pStyle w:val="13"/>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12.投标货币：</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本工程投标报价采用的币种为</w:t>
      </w:r>
      <w:r>
        <w:rPr>
          <w:rFonts w:hint="eastAsia" w:ascii="宋体" w:hAnsi="宋体" w:eastAsia="宋体" w:cs="宋体"/>
          <w:color w:val="auto"/>
          <w:sz w:val="24"/>
          <w:szCs w:val="24"/>
          <w:highlight w:val="none"/>
          <w:u w:val="single"/>
        </w:rPr>
        <w:t xml:space="preserve">  人民币  </w:t>
      </w:r>
      <w:r>
        <w:rPr>
          <w:rFonts w:hint="eastAsia" w:ascii="宋体" w:hAnsi="宋体" w:eastAsia="宋体" w:cs="宋体"/>
          <w:color w:val="auto"/>
          <w:sz w:val="24"/>
          <w:szCs w:val="24"/>
          <w:highlight w:val="none"/>
        </w:rPr>
        <w:t xml:space="preserve">。 </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13.投标有效期</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13.1投标有效期见本须知前附表规定的期限，在此期限内，凡符合本招标文件要求的投标文件均保持有效。</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13.2在特殊情况下，招标人在原定投标有效期内，可以根据需要向投标人提出延长投标有效期的要求，投标人可以拒绝招标人这种要求并申请退还保证金，</w:t>
      </w:r>
      <w:r>
        <w:rPr>
          <w:rFonts w:hint="eastAsia" w:ascii="宋体" w:hAnsi="宋体" w:eastAsia="宋体" w:cs="宋体"/>
          <w:bCs/>
          <w:color w:val="auto"/>
          <w:sz w:val="24"/>
          <w:szCs w:val="24"/>
          <w:highlight w:val="none"/>
        </w:rPr>
        <w:t>但是对拒绝延长投标有效期的投标单位招标人将拒绝其投标文件。</w:t>
      </w:r>
      <w:r>
        <w:rPr>
          <w:rFonts w:hint="eastAsia" w:ascii="宋体" w:hAnsi="宋体" w:eastAsia="宋体" w:cs="宋体"/>
          <w:color w:val="auto"/>
          <w:sz w:val="24"/>
          <w:szCs w:val="24"/>
          <w:highlight w:val="none"/>
        </w:rPr>
        <w:t>同意延长投标有效期的投标人既不能要求也不允许修改其投标文件，但需要相应的延长投标担保的有效期，在延长的投标有效期内本须知第14条关于投标担保的退还规定仍然适用。</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14.投标保证金</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14.1投标人应在本须知前附表规定的时间前提交一笔不少于前附表规定数额的投标保证金，并作为其投标文件的一部分。</w:t>
      </w:r>
    </w:p>
    <w:p>
      <w:pPr>
        <w:pStyle w:val="13"/>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14.2</w:t>
      </w:r>
      <w:r>
        <w:rPr>
          <w:rFonts w:hint="eastAsia" w:ascii="宋体" w:hAnsi="宋体" w:eastAsia="宋体" w:cs="宋体"/>
          <w:color w:val="auto"/>
          <w:kern w:val="24"/>
          <w:sz w:val="24"/>
          <w:szCs w:val="24"/>
          <w:highlight w:val="none"/>
        </w:rPr>
        <w:t>投标保证金的形式见投标须知前附表，</w:t>
      </w:r>
      <w:r>
        <w:rPr>
          <w:rFonts w:hint="eastAsia" w:ascii="宋体" w:hAnsi="宋体" w:eastAsia="宋体" w:cs="宋体"/>
          <w:color w:val="auto"/>
          <w:sz w:val="24"/>
          <w:szCs w:val="24"/>
          <w:highlight w:val="none"/>
        </w:rPr>
        <w:t>接受投标保证金的银行及帐号见招标公告</w:t>
      </w:r>
      <w:r>
        <w:rPr>
          <w:rFonts w:hint="eastAsia" w:ascii="宋体" w:hAnsi="宋体" w:eastAsia="宋体" w:cs="宋体"/>
          <w:b/>
          <w:color w:val="auto"/>
          <w:sz w:val="24"/>
          <w:szCs w:val="24"/>
          <w:highlight w:val="none"/>
        </w:rPr>
        <w:t>。任何未按规定提交投标保证金的投标人，将被视为自动放弃投标资格。</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14.3对于未能按要求提交投标保证金的投标，招标人将视为不响应招标文件而予以拒绝。</w:t>
      </w:r>
    </w:p>
    <w:p>
      <w:pPr>
        <w:pStyle w:val="13"/>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szCs w:val="24"/>
          <w:highlight w:val="none"/>
        </w:rPr>
        <w:t>14.4</w:t>
      </w:r>
      <w:r>
        <w:rPr>
          <w:rFonts w:hint="eastAsia" w:ascii="宋体" w:hAnsi="宋体" w:eastAsia="宋体" w:cs="宋体"/>
          <w:b/>
          <w:color w:val="auto"/>
          <w:sz w:val="24"/>
          <w:highlight w:val="none"/>
        </w:rPr>
        <w:t>非预中标人的投标保证金将在中标候选人公示后五日内退还；排名第一的预中标候选人）的投标保证金将在合同签订后五日内退还，其他预中标候选人的保证金在中标公告后的五日内退还。退还保证金的同时退还银行同期存款利息，如有相应的银行手续费用将先予扣除（退还利息条款仅限以转账形式缴纳的投标保证金）。</w:t>
      </w:r>
    </w:p>
    <w:p>
      <w:pPr>
        <w:pStyle w:val="13"/>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如项目开标时间推迟，已转账缴入指定账户的投标保证金，投标人不得以撤回投标等理由要求在前款规定的时间前退还。</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w:t>
      </w:r>
      <w:r>
        <w:rPr>
          <w:rFonts w:hint="eastAsia" w:ascii="宋体" w:hAnsi="宋体" w:eastAsia="宋体" w:cs="宋体"/>
          <w:b/>
          <w:bCs/>
          <w:color w:val="auto"/>
          <w:sz w:val="24"/>
          <w:szCs w:val="24"/>
          <w:highlight w:val="none"/>
        </w:rPr>
        <w:t>投标人发生下列情况之一的，投标保证金将不予退还：</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14.5.1投标人在投标截止后至投标有效期内撤销投标文件的（</w:t>
      </w:r>
      <w:r>
        <w:rPr>
          <w:rFonts w:hint="eastAsia" w:ascii="宋体" w:hAnsi="宋体" w:eastAsia="宋体" w:cs="宋体"/>
          <w:b/>
          <w:bCs/>
          <w:color w:val="auto"/>
          <w:sz w:val="24"/>
          <w:szCs w:val="24"/>
          <w:highlight w:val="none"/>
        </w:rPr>
        <w:t>因投标人原因造成投标文件未解密的，视为撤销其投标文件</w:t>
      </w:r>
      <w:r>
        <w:rPr>
          <w:rFonts w:hint="eastAsia" w:ascii="宋体" w:hAnsi="宋体" w:eastAsia="宋体" w:cs="宋体"/>
          <w:color w:val="auto"/>
          <w:sz w:val="24"/>
          <w:szCs w:val="24"/>
          <w:highlight w:val="none"/>
        </w:rPr>
        <w:t>）；</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14.5.2中标人未能在规定期限内按照招标文件内容提交履约担保或签订合同协议；</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14.5.3投标人在招标活动中存在违法违规行为的。</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14.5.4投标人中标后因自身原因放弃中标资格的。</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15.投标替代方案</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 投标人所提交的方案应满足招标文件的要求，除非本须知前附表中要求投标人提交替代方案，否则替代方案将不予考虑。</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如果本须知前附表中要求投标人提交替代方案，则投标人除提交正式投标文件外，还应按照招标文件要求提交替代方案。替代方案应包括设计计算书、技术规范、单价分析表、替代方案报价书、所建议的施工方案等满足评审需要的全部资料。</w:t>
      </w:r>
    </w:p>
    <w:p>
      <w:pPr>
        <w:pStyle w:val="13"/>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16.投标文件的份数和签署</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投标人应按本须知前附表规定的份数和招标文件规定的格式，编制并提交投标文件。</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使用纸质的投标文件正本和副本均需采用打印或使用不褪色的蓝、黑墨水笔书写，字迹应清晰易于辨认，并应在投标文件封面的右上角清楚地注明“正本”或“副本”。正本和副本如有不一致之处，以正本为准。投标文件“正本”与“副本’字样须使用不能擦去的黑色墨迹打印或书写。</w:t>
      </w:r>
    </w:p>
    <w:p>
      <w:pPr>
        <w:pStyle w:val="13"/>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16.3报价文件及技术标文件封面、投标函、投标报价汇总表、</w:t>
      </w:r>
      <w:r>
        <w:rPr>
          <w:rFonts w:hint="eastAsia" w:ascii="宋体" w:hAnsi="宋体" w:eastAsia="宋体" w:cs="宋体"/>
          <w:color w:val="auto"/>
          <w:sz w:val="24"/>
          <w:szCs w:val="24"/>
          <w:highlight w:val="none"/>
          <w:lang w:val="en-US" w:eastAsia="zh-CN"/>
        </w:rPr>
        <w:t>联合体</w:t>
      </w:r>
      <w:r>
        <w:rPr>
          <w:rFonts w:hint="eastAsia" w:ascii="宋体" w:hAnsi="宋体" w:eastAsia="宋体" w:cs="宋体"/>
          <w:color w:val="auto"/>
          <w:sz w:val="24"/>
          <w:szCs w:val="24"/>
          <w:highlight w:val="none"/>
        </w:rPr>
        <w:t>共同投标协议书(若有)均应加盖投标人公章并经法定代表人或其委托代理人签字或加盖印章。由委托代理人签字或盖章的在投标文件中须同时提交投标文件签署授权委托书。投标文件签署授权委托书格式、签字、盖章及内容均应符合招标文件要求，否则投标文件签署授权委托书无效。以联合体共同投标的须有各成员的合法授权代表签字或盖章和各成员法人印章，并附联合体共同投标协议书。</w:t>
      </w:r>
      <w:r>
        <w:rPr>
          <w:rFonts w:hint="eastAsia" w:ascii="宋体" w:hAnsi="宋体" w:eastAsia="宋体" w:cs="宋体"/>
          <w:b/>
          <w:color w:val="auto"/>
          <w:sz w:val="24"/>
          <w:szCs w:val="24"/>
          <w:highlight w:val="none"/>
        </w:rPr>
        <w:t>采用电子开</w:t>
      </w:r>
      <w:r>
        <w:rPr>
          <w:rFonts w:hint="eastAsia" w:ascii="宋体" w:hAnsi="宋体" w:eastAsia="宋体" w:cs="宋体"/>
          <w:b/>
          <w:color w:val="auto"/>
          <w:sz w:val="24"/>
          <w:szCs w:val="24"/>
          <w:highlight w:val="none"/>
          <w:lang w:val="en-US"/>
        </w:rPr>
        <w:t>评</w:t>
      </w:r>
      <w:r>
        <w:rPr>
          <w:rFonts w:hint="eastAsia" w:ascii="宋体" w:hAnsi="宋体" w:eastAsia="宋体" w:cs="宋体"/>
          <w:b/>
          <w:color w:val="auto"/>
          <w:sz w:val="24"/>
          <w:szCs w:val="24"/>
          <w:highlight w:val="none"/>
        </w:rPr>
        <w:t>标的应在电子投标文件中相应的位置加盖电子印章。</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 投标人按照本招标文件的规定对其投标文件相关内容签署盖章后，其投标文件所有内容均视为确认，对投标人起约束作用。</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 除投标人对错误处须修改外，全套纸质投标文件应无涂改或行间插字和增删。如有修改，修改处应由投标人加盖投标人的法人印章或由投标文件签字人签字或盖章。投标文件应尽量避免以涂改及行间插字方式进行修改，若投标文件存在涂改及行间插字，招标人不承担任何可能因此而造成的辨识错误。</w:t>
      </w:r>
    </w:p>
    <w:p>
      <w:pPr>
        <w:pStyle w:val="13"/>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16.6</w:t>
      </w:r>
      <w:r>
        <w:rPr>
          <w:rFonts w:hint="eastAsia" w:ascii="宋体" w:hAnsi="宋体" w:eastAsia="宋体" w:cs="宋体"/>
          <w:color w:val="auto"/>
          <w:sz w:val="24"/>
          <w:szCs w:val="24"/>
          <w:highlight w:val="none"/>
        </w:rPr>
        <w:t>纸质</w:t>
      </w:r>
      <w:r>
        <w:rPr>
          <w:rFonts w:hint="eastAsia" w:ascii="宋体" w:hAnsi="宋体" w:eastAsia="宋体" w:cs="宋体"/>
          <w:bCs/>
          <w:color w:val="auto"/>
          <w:sz w:val="24"/>
          <w:szCs w:val="24"/>
          <w:highlight w:val="none"/>
        </w:rPr>
        <w:t>投标文件建议双面打印。</w:t>
      </w:r>
    </w:p>
    <w:p>
      <w:pPr>
        <w:pStyle w:val="5"/>
        <w:spacing w:line="360" w:lineRule="auto"/>
        <w:rPr>
          <w:rFonts w:hint="eastAsia" w:ascii="宋体" w:hAnsi="宋体" w:eastAsia="宋体" w:cs="宋体"/>
          <w:color w:val="auto"/>
          <w:sz w:val="28"/>
          <w:szCs w:val="28"/>
          <w:highlight w:val="none"/>
        </w:rPr>
      </w:pPr>
      <w:bookmarkStart w:id="53" w:name="_Toc208106833"/>
      <w:bookmarkStart w:id="54" w:name="_Toc22345"/>
      <w:r>
        <w:rPr>
          <w:rFonts w:hint="eastAsia" w:ascii="宋体" w:hAnsi="宋体" w:eastAsia="宋体" w:cs="宋体"/>
          <w:color w:val="auto"/>
          <w:sz w:val="28"/>
          <w:szCs w:val="28"/>
          <w:highlight w:val="none"/>
        </w:rPr>
        <w:t>（四）投标文件的提交</w:t>
      </w:r>
      <w:bookmarkEnd w:id="53"/>
      <w:bookmarkEnd w:id="54"/>
    </w:p>
    <w:p>
      <w:pPr>
        <w:pStyle w:val="13"/>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17.纸质投标文件的装订、密封和标记</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17.1招标文件要求提交纸质投标文件的，投标人应根据本招标文件下篇第四章“投标文件格式”的要求将纸质投标资格初步评审材料、商务标投标文件、资格审查及技术标投标文件分别密封装订并标明相应名称。</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17.2纸质投标文件的正本和所有副本应分别密封，并在密封袋上清楚地标明“正本”或“副本”，密封袋封口处应密封，并应加盖投标人法人章或法定代表人印章；</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 纸质投标文件在投标文件密封袋上均应写明：</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17.3.1 招标人名称；</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17.3.2 招标编号；</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17.3.3 工程名称；</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17.3.4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分开标，此时间以前不得开启；</w:t>
      </w:r>
    </w:p>
    <w:p>
      <w:pPr>
        <w:pStyle w:val="13"/>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17.3.5投标人名称和地址。</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18.投标文件的提交</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18.1投标人应按招标公告中规定的地点，于投标截止时间前提交投标文件。</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18.2实行网上投标应执行以下要求：</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18.2.1电子投标文件的提交是指投标人使用系统完成上传投标文件，未在投标截止时间前完成上传的投标文件视为逾期送达。</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18.2.2如本项目要求投标人提交非加密投标文件电子光盘的（投标文件制作软件在生成加密投标文件时，同时生成非加密投标文件），投标人须将电子光盘密封并在封口处加盖单位公章，于投标截止时间前，在开标现场提交，未密封的光盘不予接收。本项目是否要求提交非加密的投标文件电子光盘见投标须知前附表。</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19.</w:t>
      </w:r>
      <w:r>
        <w:rPr>
          <w:rFonts w:hint="eastAsia" w:ascii="宋体" w:hAnsi="宋体" w:eastAsia="宋体" w:cs="宋体"/>
          <w:b/>
          <w:bCs/>
          <w:color w:val="auto"/>
          <w:sz w:val="24"/>
          <w:szCs w:val="24"/>
          <w:highlight w:val="none"/>
        </w:rPr>
        <w:t>迟交的投标文件</w:t>
      </w:r>
    </w:p>
    <w:p>
      <w:pPr>
        <w:pStyle w:val="13"/>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19.1投标人在投标截止时间后递交的投标文件，将被拒绝。</w:t>
      </w:r>
    </w:p>
    <w:p>
      <w:pPr>
        <w:pStyle w:val="13"/>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19.2实行网上电子开评标的，投标截止时间以交易系统显示的时间为准，逾期系统将自动关闭, 未完成上传的投标文件将被拒绝。</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20.投标文件的补充、修改与撤回</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 投标人在提交投标文件以后，在规定的投标截止时间之前，可以补充、修改或撤回已提交的投标文件，并通知招标人。补充、修改的内容为投标文件的组成部分。</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 采用纸质投标文件的，投标人对投标文件的补充、修改或撤回通知，应按须知本招标文件的规定密封、标记和提交，并在投标文件密封袋上清楚标明“补充、修改”或“撤回”字样。否则，补充、修改或撤回通知无效。</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20.3实行网上电子开评标的项目，在规定的投标截止时间之前可通过系统修改或撤回已提交的电子投标文件。</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 在投标截止时间之后，投标人不得补充、修改投标文件。</w:t>
      </w:r>
    </w:p>
    <w:p>
      <w:pPr>
        <w:pStyle w:val="5"/>
        <w:spacing w:line="360" w:lineRule="auto"/>
        <w:rPr>
          <w:rFonts w:hint="eastAsia" w:ascii="宋体" w:hAnsi="宋体" w:eastAsia="宋体" w:cs="宋体"/>
          <w:color w:val="auto"/>
          <w:sz w:val="28"/>
          <w:szCs w:val="28"/>
          <w:highlight w:val="none"/>
        </w:rPr>
      </w:pPr>
      <w:bookmarkStart w:id="55" w:name="_Toc12183"/>
      <w:bookmarkStart w:id="56" w:name="_Toc208106834"/>
      <w:bookmarkStart w:id="57" w:name="_Toc200336335"/>
      <w:r>
        <w:rPr>
          <w:rFonts w:hint="eastAsia" w:ascii="宋体" w:hAnsi="宋体" w:eastAsia="宋体" w:cs="宋体"/>
          <w:color w:val="auto"/>
          <w:sz w:val="28"/>
          <w:szCs w:val="28"/>
          <w:highlight w:val="none"/>
        </w:rPr>
        <w:t>（五）开标</w:t>
      </w:r>
      <w:bookmarkEnd w:id="55"/>
      <w:bookmarkEnd w:id="56"/>
      <w:bookmarkEnd w:id="57"/>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21.开标</w:t>
      </w:r>
    </w:p>
    <w:p>
      <w:pPr>
        <w:pStyle w:val="13"/>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21.1招标人按</w:t>
      </w:r>
      <w:r>
        <w:rPr>
          <w:rFonts w:hint="eastAsia" w:ascii="宋体" w:hAnsi="宋体" w:eastAsia="宋体" w:cs="宋体"/>
          <w:color w:val="auto"/>
          <w:sz w:val="24"/>
          <w:szCs w:val="24"/>
          <w:highlight w:val="none"/>
        </w:rPr>
        <w:t>招标公告</w:t>
      </w:r>
      <w:r>
        <w:rPr>
          <w:rFonts w:hint="eastAsia" w:ascii="宋体" w:hAnsi="宋体" w:eastAsia="宋体" w:cs="宋体"/>
          <w:bCs/>
          <w:color w:val="auto"/>
          <w:sz w:val="24"/>
          <w:szCs w:val="24"/>
          <w:highlight w:val="none"/>
        </w:rPr>
        <w:t>所规定的时间和地点开标，</w:t>
      </w:r>
      <w:r>
        <w:rPr>
          <w:rFonts w:hint="eastAsia" w:ascii="宋体" w:hAnsi="宋体" w:eastAsia="宋体" w:cs="宋体"/>
          <w:b/>
          <w:bCs/>
          <w:color w:val="auto"/>
          <w:sz w:val="24"/>
          <w:szCs w:val="24"/>
          <w:highlight w:val="none"/>
        </w:rPr>
        <w:t>未出席开标会议不影响投标人的投标文件效力。</w:t>
      </w:r>
    </w:p>
    <w:p>
      <w:pPr>
        <w:pStyle w:val="13"/>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21.2按规定提交合格的撤回通知的投标文件不予开启，并退回给投标人；按本须知第22条规定拒收的投标文件，不予送交评审。</w:t>
      </w:r>
    </w:p>
    <w:p>
      <w:pPr>
        <w:pStyle w:val="13"/>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21.3开标由招标人或招标代理机构主持，主持人按下列程序进行：</w:t>
      </w:r>
    </w:p>
    <w:p>
      <w:pPr>
        <w:pStyle w:val="13"/>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21.3.1由主持人宣布开标会开始、同时宣布开标人、唱标人、记录人和监督人员及到场的相关人员；</w:t>
      </w:r>
    </w:p>
    <w:p>
      <w:pPr>
        <w:pStyle w:val="13"/>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21.3.2宣读至投标截止时间前接收到递交的有效投标文件的份数及投标单位名称。</w:t>
      </w:r>
    </w:p>
    <w:p>
      <w:pPr>
        <w:pStyle w:val="13"/>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21.3.3</w:t>
      </w:r>
      <w:r>
        <w:rPr>
          <w:rFonts w:hint="eastAsia" w:ascii="宋体" w:hAnsi="宋体" w:eastAsia="宋体" w:cs="宋体"/>
          <w:b/>
          <w:bCs/>
          <w:color w:val="auto"/>
          <w:sz w:val="24"/>
          <w:szCs w:val="24"/>
          <w:highlight w:val="none"/>
        </w:rPr>
        <w:t>招标人和投标人的代表共同检查各投标书密封情况，对密封情况有异议的应当场提出，标书开启后不再接受任何对标书密封情况的异议和投诉。</w:t>
      </w:r>
    </w:p>
    <w:p>
      <w:pPr>
        <w:pStyle w:val="13"/>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21.3.4</w:t>
      </w:r>
      <w:r>
        <w:rPr>
          <w:rFonts w:hint="eastAsia" w:ascii="宋体" w:hAnsi="宋体" w:eastAsia="宋体" w:cs="宋体"/>
          <w:b/>
          <w:color w:val="auto"/>
          <w:sz w:val="24"/>
          <w:szCs w:val="24"/>
          <w:highlight w:val="none"/>
        </w:rPr>
        <w:t>主持人</w:t>
      </w:r>
      <w:r>
        <w:rPr>
          <w:rFonts w:hint="eastAsia" w:ascii="宋体" w:hAnsi="宋体" w:eastAsia="宋体" w:cs="宋体"/>
          <w:b/>
          <w:bCs/>
          <w:color w:val="auto"/>
          <w:sz w:val="24"/>
          <w:szCs w:val="24"/>
          <w:highlight w:val="none"/>
        </w:rPr>
        <w:t>告知所有投标人，任何对开标期间的异议应当在开标现场提出，开标结束后，不再接受任何对开标的异议和投诉。</w:t>
      </w:r>
    </w:p>
    <w:p>
      <w:pPr>
        <w:pStyle w:val="13"/>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21.3.5主持人按投标书送达时间逆顺序进行开标、唱标。</w:t>
      </w:r>
    </w:p>
    <w:p>
      <w:pPr>
        <w:pStyle w:val="13"/>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21.4.6开标结束。</w:t>
      </w:r>
    </w:p>
    <w:p>
      <w:pPr>
        <w:pStyle w:val="13"/>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eastAsia="宋体" w:cs="宋体"/>
          <w:b/>
          <w:bCs/>
          <w:color w:val="auto"/>
          <w:sz w:val="24"/>
          <w:szCs w:val="24"/>
          <w:highlight w:val="none"/>
        </w:rPr>
        <w:t>投标文件有下列情形之一的，招标人将不予接受</w:t>
      </w:r>
      <w:r>
        <w:rPr>
          <w:rFonts w:hint="eastAsia" w:ascii="宋体" w:hAnsi="宋体" w:eastAsia="宋体" w:cs="宋体"/>
          <w:color w:val="auto"/>
          <w:sz w:val="24"/>
          <w:szCs w:val="24"/>
          <w:highlight w:val="none"/>
        </w:rPr>
        <w:t xml:space="preserve">： </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22.1逾期送达的或者未送达指定地点的； </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22.2纸质投标文件，未按招标文件要求包装、密封</w:t>
      </w:r>
      <w:r>
        <w:rPr>
          <w:rFonts w:hint="eastAsia" w:ascii="宋体" w:hAnsi="宋体" w:eastAsia="宋体" w:cs="宋体"/>
          <w:bCs/>
          <w:color w:val="auto"/>
          <w:sz w:val="24"/>
          <w:szCs w:val="24"/>
          <w:highlight w:val="none"/>
        </w:rPr>
        <w:t>及加写标记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cr/>
      </w:r>
      <w:r>
        <w:rPr>
          <w:rFonts w:hint="eastAsia" w:ascii="宋体" w:hAnsi="宋体" w:eastAsia="宋体" w:cs="宋体"/>
          <w:b/>
          <w:bCs/>
          <w:color w:val="auto"/>
          <w:sz w:val="24"/>
          <w:szCs w:val="24"/>
          <w:highlight w:val="none"/>
        </w:rPr>
        <w:t>23.开标记录：</w:t>
      </w:r>
    </w:p>
    <w:p>
      <w:pPr>
        <w:pStyle w:val="13"/>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招标人或其委托的招标代理机构对开标过程进行记录并在系统中填写所有投标单位的报价、工期及项目负责人信息，如有纸质资料应妥善保管并存档备查。</w:t>
      </w:r>
    </w:p>
    <w:p>
      <w:pPr>
        <w:pStyle w:val="5"/>
        <w:spacing w:line="360" w:lineRule="auto"/>
        <w:rPr>
          <w:rFonts w:hint="eastAsia" w:ascii="宋体" w:hAnsi="宋体" w:eastAsia="宋体" w:cs="宋体"/>
          <w:color w:val="auto"/>
          <w:sz w:val="28"/>
          <w:szCs w:val="28"/>
          <w:highlight w:val="none"/>
        </w:rPr>
      </w:pPr>
      <w:bookmarkStart w:id="58" w:name="_Toc208106835"/>
      <w:bookmarkStart w:id="59" w:name="_Toc4162"/>
      <w:bookmarkStart w:id="60" w:name="_Toc200336336"/>
      <w:r>
        <w:rPr>
          <w:rFonts w:hint="eastAsia" w:ascii="宋体" w:hAnsi="宋体" w:eastAsia="宋体" w:cs="宋体"/>
          <w:color w:val="auto"/>
          <w:sz w:val="28"/>
          <w:szCs w:val="28"/>
          <w:highlight w:val="none"/>
        </w:rPr>
        <w:t>（六）评标、定标</w:t>
      </w:r>
      <w:bookmarkEnd w:id="58"/>
      <w:bookmarkEnd w:id="59"/>
      <w:bookmarkEnd w:id="60"/>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24.评标委员会与评标</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 评标委员会由招标人依法组建，评标活动由评标委员会负责。</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24.2 开标结束后，开始评标，评标在保密的环境中进行。</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24.3实行网上电子开评标的项目：</w:t>
      </w:r>
    </w:p>
    <w:p>
      <w:pPr>
        <w:pStyle w:val="13"/>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24.3.1依法组建的评标委员会按招标文件规定的评标办法进行电子评标，并对评标报告签字确认。</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24.3.2项目评审过程中，若遇到需要澄清事项，评标专家将与代理机构或投标人在中心工作人员的见证下，通过中心电子通话设备进行沟通，整个过程将被实时记录。</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24.3.3投标人需补充会员库登记资料的，须在投标截止时间前完成，会员应及时对其注册的信息进行维护，并对信息的真实性、准确性和完整性负责。企业库中文字信息、扫描件必须与真实证照完全一致。</w:t>
      </w:r>
    </w:p>
    <w:p>
      <w:pPr>
        <w:pStyle w:val="13"/>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24.3.4项目评审中，投标文件出现下列情形之一的，评标委员会将终止对投标文件做后续评审：</w:t>
      </w:r>
    </w:p>
    <w:p>
      <w:pPr>
        <w:pStyle w:val="13"/>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24.3.4.1投标文件无法打开的；</w:t>
      </w:r>
    </w:p>
    <w:p>
      <w:pPr>
        <w:pStyle w:val="13"/>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24.3.4.2投标文件中携带病毒并造成后果的；</w:t>
      </w:r>
    </w:p>
    <w:p>
      <w:pPr>
        <w:pStyle w:val="13"/>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24.3.4.3恶意递交投标文件，企图造成网络堵塞或瘫痪的；</w:t>
      </w:r>
    </w:p>
    <w:p>
      <w:pPr>
        <w:pStyle w:val="13"/>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24.3.4.4评标委员会认定的其他情形。</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25.评标过程的保密</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25.1开标后，直至授予中标人合同为止，凡属于对投标文件的审查、澄清、评价和比较的有关资料以及中标候选人的推荐情况，与评标有关的其他任何情况均严格保密。</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25.2 在投标文件的评审和比较、中标候选人推荐以及授予合同的过程中，投标人向招标人和评标委员会施加影响的任何行为，都将会导致其投标被拒绝。</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25.3中标人确定后，招标人不对未中标人就评标过程以及未能中标原因作出任何解释。未中标人不得向评标委员会组成人员或其他有关人员询问评标过程的情况和材料。</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26.投标文件的澄清</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26.1 为有助于投标文件的审查、评价和比较，评标委员会可以要求投标人对投标文件含义不明确的内容作必要的澄清或说明，投标人应进行澄清或说明，但不得超出投标文件的范围或改变投标文件的实质性内容。凡属于评标委员会在评标中发现的计算错误进行核实的修改不在此列。</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26.2 有下列情形之一的，在评标现场评标时，评标委员会可以要求投标人当场作出说明并提供相关材料：</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（一）设有</w:t>
      </w:r>
      <w:r>
        <w:rPr>
          <w:rFonts w:hint="eastAsia" w:ascii="宋体" w:hAnsi="宋体" w:eastAsia="宋体" w:cs="宋体"/>
          <w:bCs/>
          <w:color w:val="auto"/>
          <w:sz w:val="24"/>
          <w:szCs w:val="24"/>
          <w:highlight w:val="none"/>
        </w:rPr>
        <w:t>最高投标限价</w:t>
      </w:r>
      <w:r>
        <w:rPr>
          <w:rFonts w:hint="eastAsia" w:ascii="宋体" w:hAnsi="宋体" w:eastAsia="宋体" w:cs="宋体"/>
          <w:color w:val="auto"/>
          <w:sz w:val="24"/>
          <w:szCs w:val="24"/>
          <w:highlight w:val="none"/>
        </w:rPr>
        <w:t>的，投标报价低于</w:t>
      </w:r>
      <w:r>
        <w:rPr>
          <w:rFonts w:hint="eastAsia" w:ascii="宋体" w:hAnsi="宋体" w:eastAsia="宋体" w:cs="宋体"/>
          <w:bCs/>
          <w:color w:val="auto"/>
          <w:sz w:val="24"/>
          <w:szCs w:val="24"/>
          <w:highlight w:val="none"/>
        </w:rPr>
        <w:t>最高投标限价</w:t>
      </w:r>
      <w:r>
        <w:rPr>
          <w:rFonts w:hint="eastAsia" w:ascii="宋体" w:hAnsi="宋体" w:eastAsia="宋体" w:cs="宋体"/>
          <w:color w:val="auto"/>
          <w:sz w:val="24"/>
          <w:szCs w:val="24"/>
          <w:highlight w:val="none"/>
        </w:rPr>
        <w:t>合理幅度的；</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（二）不设最高投标限价的，投标报价明显低于其他投标报价，有可能低于其企业成本的。</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27.投标文件的偏差</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27.1</w:t>
      </w:r>
      <w:r>
        <w:rPr>
          <w:rFonts w:hint="eastAsia" w:ascii="宋体" w:hAnsi="宋体" w:eastAsia="宋体" w:cs="宋体"/>
          <w:color w:val="auto"/>
          <w:sz w:val="24"/>
          <w:szCs w:val="24"/>
          <w:highlight w:val="none"/>
        </w:rPr>
        <w:t>评标委员会应当根据招标文件有关规定，审查并逐项列出投标文件的全部投标偏差。投标偏差分重大偏差和细微偏差。</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27.2</w:t>
      </w:r>
      <w:r>
        <w:rPr>
          <w:rFonts w:hint="eastAsia" w:ascii="宋体" w:hAnsi="宋体" w:eastAsia="宋体" w:cs="宋体"/>
          <w:color w:val="auto"/>
          <w:sz w:val="24"/>
          <w:szCs w:val="24"/>
          <w:highlight w:val="none"/>
        </w:rPr>
        <w:t>投标偏差的界定和评审</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27.2.1重大偏差的认定，投标文件有下列情形之一的，属于重大偏差，由评标委员会评审后按废标处理：</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27.2.1.1未按招标文件中要求提供相关资格审查材料或提供的材料不符合要求的。</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27.2.1.2投标文件封面、投标函、投标函附录、工程量清单报价表封面未加盖投标人的企业印章、企业法定代表人或其授权的委托代理人签字或盖章的。企业法定代表人授权的委托代理人没有合法、有效的委托书。</w:t>
      </w:r>
    </w:p>
    <w:p>
      <w:pPr>
        <w:pStyle w:val="13"/>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27.2.1.3</w:t>
      </w:r>
      <w:r>
        <w:rPr>
          <w:rFonts w:hint="eastAsia" w:ascii="宋体" w:hAnsi="宋体" w:eastAsia="宋体" w:cs="宋体"/>
          <w:b/>
          <w:bCs/>
          <w:color w:val="auto"/>
          <w:sz w:val="24"/>
          <w:szCs w:val="24"/>
          <w:highlight w:val="none"/>
        </w:rPr>
        <w:t>未按规定的格式填写，</w:t>
      </w:r>
      <w:r>
        <w:rPr>
          <w:rFonts w:hint="eastAsia" w:ascii="宋体" w:hAnsi="宋体" w:eastAsia="宋体" w:cs="宋体"/>
          <w:b/>
          <w:color w:val="auto"/>
          <w:sz w:val="24"/>
          <w:szCs w:val="24"/>
          <w:highlight w:val="none"/>
        </w:rPr>
        <w:t>实质性</w:t>
      </w:r>
      <w:r>
        <w:rPr>
          <w:rFonts w:hint="eastAsia" w:ascii="宋体" w:hAnsi="宋体" w:eastAsia="宋体" w:cs="宋体"/>
          <w:b/>
          <w:bCs/>
          <w:color w:val="auto"/>
          <w:sz w:val="24"/>
          <w:szCs w:val="24"/>
          <w:highlight w:val="none"/>
        </w:rPr>
        <w:t>内容不全或关键字迹模糊、无法辨认的。</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27.2.1.4投标人递交两份或多份内容不同的投标文件，或在一份投标文件中对同一招标项目有两个或多个报价，且未声明哪一个有效的。按招标文件规定提交备选投标方案的除外。</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27.2.1.5 投标文件明显不符合招标文件规定的报价、工期、质量标准、技术规格、施工方案评审标准或其它实质性要求。</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27.2.1.6未按招标文件要求提交投标保证金的。</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27.2.1.7</w:t>
      </w:r>
      <w:r>
        <w:rPr>
          <w:rFonts w:hint="eastAsia" w:ascii="宋体" w:hAnsi="宋体" w:eastAsia="宋体" w:cs="宋体"/>
          <w:b/>
          <w:bCs/>
          <w:color w:val="auto"/>
          <w:sz w:val="24"/>
          <w:highlight w:val="none"/>
        </w:rPr>
        <w:t>网上开评标的投标文件中电子清单文件无法读取或不符合规定格式，经评标委员会认定属于重大偏差的。</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27.2.1.8投标文件中的其它重大偏差（包括缺项，漏项）：</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①投标文件中填报的工程量清单报价书中的格式、内容及工程量与招标人提供给投标人报价格式、内容及工程量不一致，以致影响评标结果的。</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②投标报价高于控制价的。</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③因投标人原因造成投标报价及其综合单价遗漏的工程项目、工程内容、工程数量、费用或计算错误等绝对值累计总额（高估冒算、多报费用不得抵消缺漏费用）占投标报价 3% （含）以上者。凡招标文件要求或者工程造价组成应计算的费用而投标人未报，且投标文件 未阐明充分理由，并不能提供足够证据者，均视为缺漏项目或费用。</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④投标人拒不按照要求对投标文件进行澄清、说明、补正的， 或评标委员根据招标文件 的规定对投标文件的计算错误进行修正后，投标人不接受修正后的投标报价的。</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⑤投标报价中变更暂列金额或预留金或招标人提供的暂定价格的。</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⑥法律、法规规定的其它情形。</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27.2.1.</w:t>
      </w:r>
      <w:r>
        <w:rPr>
          <w:rFonts w:hint="eastAsia" w:ascii="宋体" w:hAnsi="宋体" w:eastAsia="宋体" w:cs="宋体"/>
          <w:b/>
          <w:color w:val="auto"/>
          <w:sz w:val="24"/>
          <w:szCs w:val="24"/>
          <w:highlight w:val="none"/>
          <w:lang w:val="en-US"/>
        </w:rPr>
        <w:t>9</w:t>
      </w:r>
      <w:r>
        <w:rPr>
          <w:rFonts w:hint="eastAsia" w:ascii="宋体" w:hAnsi="宋体" w:eastAsia="宋体" w:cs="宋体"/>
          <w:b/>
          <w:color w:val="auto"/>
          <w:sz w:val="24"/>
          <w:szCs w:val="24"/>
          <w:highlight w:val="none"/>
        </w:rPr>
        <w:t>技术标文件或商务标文件经评审委员会评审不合格的。</w:t>
      </w:r>
    </w:p>
    <w:p>
      <w:pPr>
        <w:pStyle w:val="1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27.2.1.1</w:t>
      </w:r>
      <w:r>
        <w:rPr>
          <w:rFonts w:hint="eastAsia" w:ascii="宋体" w:hAnsi="宋体" w:eastAsia="宋体" w:cs="宋体"/>
          <w:b/>
          <w:color w:val="auto"/>
          <w:sz w:val="24"/>
          <w:szCs w:val="24"/>
          <w:highlight w:val="none"/>
          <w:lang w:val="en-US"/>
        </w:rPr>
        <w:t>0</w:t>
      </w:r>
      <w:r>
        <w:rPr>
          <w:rFonts w:hint="eastAsia" w:ascii="宋体" w:hAnsi="宋体" w:eastAsia="宋体" w:cs="宋体"/>
          <w:b/>
          <w:color w:val="auto"/>
          <w:sz w:val="24"/>
          <w:szCs w:val="24"/>
          <w:highlight w:val="none"/>
        </w:rPr>
        <w:t>法律、法规规定的其它情形；</w:t>
      </w:r>
    </w:p>
    <w:p>
      <w:pPr>
        <w:pStyle w:val="13"/>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27.2.2 </w:t>
      </w:r>
      <w:r>
        <w:rPr>
          <w:rFonts w:hint="eastAsia" w:ascii="宋体" w:hAnsi="宋体" w:eastAsia="宋体" w:cs="宋体"/>
          <w:color w:val="auto"/>
          <w:sz w:val="24"/>
          <w:szCs w:val="24"/>
          <w:highlight w:val="none"/>
        </w:rPr>
        <w:t xml:space="preserve"> 细微偏差的认定：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27.2.3 投标文件的澄清：投标文件需澄清、说明或者补正的(包括补正投标报价)以及投标文件存在细微偏差需要补正的，评标委员会应当以书面形式要求投标人进行书面澄清、说明、补正或确认，细微偏差的修正将由评委进行评审，其投标人的法定代表人或其委托代理人应签字认可。</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27.2.4如果投标文件实质上不响应招标文件的各项要求，评标委员会将予以拒绝，并且不允许投标人通过修改或撤销其不符合要求的差异或保留，使之成为具有响应性的投标。</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27.2.5</w:t>
      </w:r>
      <w:r>
        <w:rPr>
          <w:rFonts w:hint="eastAsia" w:ascii="宋体" w:hAnsi="宋体" w:eastAsia="宋体" w:cs="宋体"/>
          <w:b/>
          <w:color w:val="auto"/>
          <w:sz w:val="24"/>
          <w:szCs w:val="24"/>
          <w:highlight w:val="none"/>
        </w:rPr>
        <w:t>评委对界定为细微偏差的应做相应调整，投标人应现场书面接受调整内容。</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28.投标文件计算错误的修正</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28.1评标委员会将对确定为实质上响应招标文件要求的投标文件进行校核，看其是否有计算或表达上的细微偏差，细微偏差的修正原则如下：</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28.1.1工程量清单报价表中，出现综合单价金额和工程量的乘积与合价金额不一致的，以标出的综合单价金额为准，并修改合价金额。但综合单价金额小数点有明显错误的，此时应以标出的合价金额为准，并修改综合单价金额；</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28.1.2各项报价书中，细目价格、费用(合价或合计)金额累计不等于总价(合计或总计)金额时，应以各细目价格、费用(合价或合计)金额累计数为准，修正总价(合价或总计)金额。</w:t>
      </w:r>
    </w:p>
    <w:p>
      <w:pPr>
        <w:pStyle w:val="13"/>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28.1.3</w:t>
      </w:r>
      <w:r>
        <w:rPr>
          <w:rFonts w:hint="eastAsia" w:ascii="宋体" w:hAnsi="宋体" w:eastAsia="宋体" w:cs="宋体"/>
          <w:b/>
          <w:color w:val="auto"/>
          <w:sz w:val="24"/>
          <w:szCs w:val="24"/>
          <w:highlight w:val="none"/>
        </w:rPr>
        <w:t>投标文件中填报的投标工期、工程质量标准前后不一致时，以投标函填报的为准。</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28.1.4投标文件中填写的工程名称、工程结构、建筑面积、层数有误时，以招标工程的实际内容为准。</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28.2按上述修正错误的原则及方法调整或修正投标文件的投标报价，投标人同意后，调整后的投标报价对投标人起约束作用。如果投标人不接受修正后的报价，则其投标将被拒绝。</w:t>
      </w:r>
    </w:p>
    <w:p>
      <w:pPr>
        <w:pStyle w:val="13"/>
        <w:numPr>
          <w:ilvl w:val="0"/>
          <w:numId w:val="3"/>
        </w:num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投标人的最终投标报价</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按照本招标文件的规定进行澄清、补正后的投标报价经投标人的法定代表人或其委托代理人确认后即为该投标人的最终投标报价。投标人一旦中标，此报价即为中标价。</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30.投标文件的评审、比较和否决</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30.1评标委员会将按照本须知第27条规定，仅对在实质上响应招标文件要求的投标文件进行评估和比较。</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30.2 在评审过程中,评标委员会可以要求投标人就投标文件中含义不明确的内容进行说明并提供相关材料。</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30.3评标委员会依据招标文件规定的评标标准和方法，对合格投标文件分别进行评审和比较，提出评标报告并推荐中标候选人。</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30.4招标人根据评标委员会提出的评标报告和推荐的中标候选人，依据国家和地方现行法规确定中标人。</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30.5评标委员会经评审，认为所有投标都不符合招标文件要求的，可以否决所有投标。所有投标被否决后，招标人应当依法重新招标。</w:t>
      </w:r>
      <w:bookmarkStart w:id="61" w:name="_Toc208106836"/>
      <w:bookmarkStart w:id="62" w:name="_Toc200336337"/>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30.6意外情况</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出现下列情形导致交易系统无法正常运行，或者无法保证开评标过程的公平、公正和信息安全时，除投标人责任外，其余各方当事人免责：</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30.6.1网络服务器发生故障而无法访问网站或无法使用网上招投标系统的； </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30.6.2网上招投标系统的软件或网络数据库出现错误，不能进行正常操作的；</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30.6.3网上招投标系统发现有安全漏洞，有潜在泄密危险的；</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30.6.4计算机病毒发作导致系统无法正常运行的；</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30.6.5电力系统发生故障导致网上开评标系统无法运行的；</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30.6.6其他无法保证开评标过程公平、公正和信息安全的。</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30.7意外情况的处理</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出现上述情形而又不能及时解决的，交易中心应及时向市公共资源交易管理局报告。经批准同意后，采取以下办法处理：</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30.7.1项目暂停，待系统或网络故障排除并经过可靠性测试后，重新实施。</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30.7.2停止该项目此次网上开评标操作程序，并通知投标人采用其他方式操作。</w:t>
      </w:r>
    </w:p>
    <w:p>
      <w:pPr>
        <w:pStyle w:val="5"/>
        <w:spacing w:line="360" w:lineRule="auto"/>
        <w:rPr>
          <w:rFonts w:hint="eastAsia" w:ascii="宋体" w:hAnsi="宋体" w:eastAsia="宋体" w:cs="宋体"/>
          <w:color w:val="auto"/>
          <w:sz w:val="28"/>
          <w:szCs w:val="28"/>
          <w:highlight w:val="none"/>
        </w:rPr>
      </w:pPr>
      <w:bookmarkStart w:id="63" w:name="_Toc23152"/>
      <w:r>
        <w:rPr>
          <w:rFonts w:hint="eastAsia" w:ascii="宋体" w:hAnsi="宋体" w:eastAsia="宋体" w:cs="宋体"/>
          <w:color w:val="auto"/>
          <w:sz w:val="28"/>
          <w:szCs w:val="28"/>
          <w:highlight w:val="none"/>
        </w:rPr>
        <w:t>（七）合同的授予</w:t>
      </w:r>
      <w:bookmarkEnd w:id="61"/>
      <w:bookmarkEnd w:id="62"/>
      <w:bookmarkEnd w:id="63"/>
    </w:p>
    <w:p>
      <w:pPr>
        <w:spacing w:line="360" w:lineRule="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31.合同授予标准</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本招标工程的施工合同将授予中标人。</w:t>
      </w:r>
    </w:p>
    <w:p>
      <w:pPr>
        <w:spacing w:line="360" w:lineRule="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32.招标人拒绝投标的权力</w:t>
      </w:r>
    </w:p>
    <w:p>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招标人不承诺将合同授予报价最低的投标人。招标人在发出中标通知书前，有权依据评标委员会的评标报告拒绝不合格的投标</w:t>
      </w:r>
      <w:r>
        <w:rPr>
          <w:rFonts w:hint="eastAsia" w:ascii="宋体" w:hAnsi="宋体" w:eastAsia="宋体" w:cs="宋体"/>
          <w:b/>
          <w:color w:val="auto"/>
          <w:sz w:val="24"/>
          <w:highlight w:val="none"/>
        </w:rPr>
        <w:t>。</w:t>
      </w:r>
    </w:p>
    <w:p>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33.中标通知书</w:t>
      </w:r>
    </w:p>
    <w:p>
      <w:pPr>
        <w:spacing w:line="360" w:lineRule="auto"/>
        <w:ind w:firstLine="500"/>
        <w:rPr>
          <w:rFonts w:hint="eastAsia" w:ascii="宋体" w:hAnsi="宋体" w:eastAsia="宋体" w:cs="宋体"/>
          <w:color w:val="auto"/>
          <w:sz w:val="24"/>
          <w:highlight w:val="none"/>
        </w:rPr>
      </w:pPr>
      <w:r>
        <w:rPr>
          <w:rFonts w:hint="eastAsia" w:ascii="宋体" w:hAnsi="宋体" w:eastAsia="宋体" w:cs="宋体"/>
          <w:color w:val="auto"/>
          <w:sz w:val="24"/>
          <w:highlight w:val="none"/>
        </w:rPr>
        <w:t>招标人将在发出中标通知书的同时,将中标结果通知所有未中标的投标人。</w:t>
      </w:r>
      <w:r>
        <w:rPr>
          <w:rFonts w:hint="eastAsia" w:ascii="宋体" w:hAnsi="宋体" w:eastAsia="宋体" w:cs="宋体"/>
          <w:b/>
          <w:bCs/>
          <w:color w:val="auto"/>
          <w:sz w:val="24"/>
          <w:highlight w:val="none"/>
        </w:rPr>
        <w:t>公开招标的项目将在铜陵市公共资源交易网上以中标公告的形式通知；邀请招标的项目将以传真或电子邮件等方式通知，投标人收到后，应以传真或电邮的方式确认签收</w:t>
      </w:r>
      <w:r>
        <w:rPr>
          <w:rFonts w:hint="eastAsia" w:ascii="宋体" w:hAnsi="宋体" w:eastAsia="宋体" w:cs="宋体"/>
          <w:color w:val="auto"/>
          <w:sz w:val="24"/>
          <w:highlight w:val="none"/>
        </w:rPr>
        <w:t>。</w:t>
      </w:r>
    </w:p>
    <w:p>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34.合同协议书的签订</w:t>
      </w:r>
    </w:p>
    <w:p>
      <w:pPr>
        <w:spacing w:line="360" w:lineRule="auto"/>
        <w:ind w:firstLine="500"/>
        <w:rPr>
          <w:rFonts w:hint="eastAsia" w:ascii="宋体" w:hAnsi="宋体" w:eastAsia="宋体" w:cs="宋体"/>
          <w:color w:val="auto"/>
          <w:sz w:val="24"/>
          <w:highlight w:val="none"/>
        </w:rPr>
      </w:pPr>
      <w:r>
        <w:rPr>
          <w:rFonts w:hint="eastAsia" w:ascii="宋体" w:hAnsi="宋体" w:eastAsia="宋体" w:cs="宋体"/>
          <w:color w:val="auto"/>
          <w:sz w:val="24"/>
          <w:highlight w:val="none"/>
        </w:rPr>
        <w:t>34.1 招标人与中标人将于中标通知书发出之日起30日内，按照招标文件和中标人的投标文件订立书面工程施工合同，招标人和中标人不得再行订立背离合同实质性内容的其他协议。</w:t>
      </w:r>
    </w:p>
    <w:p>
      <w:pPr>
        <w:spacing w:line="360" w:lineRule="auto"/>
        <w:ind w:firstLine="500"/>
        <w:rPr>
          <w:rFonts w:hint="eastAsia" w:ascii="宋体" w:hAnsi="宋体" w:eastAsia="宋体" w:cs="宋体"/>
          <w:color w:val="auto"/>
          <w:sz w:val="24"/>
          <w:highlight w:val="none"/>
        </w:rPr>
      </w:pPr>
      <w:r>
        <w:rPr>
          <w:rFonts w:hint="eastAsia" w:ascii="宋体" w:hAnsi="宋体" w:eastAsia="宋体" w:cs="宋体"/>
          <w:color w:val="auto"/>
          <w:sz w:val="24"/>
          <w:highlight w:val="none"/>
        </w:rPr>
        <w:t>34.2中标人如不按本招标文件规定与招标人订立合同，招标人将取消其中标资格，投标担保不予退还，给招标人造成的损失超过投标担保数额的，还应当对超过部分予以赔偿，同时依法承担相应法律责任。</w:t>
      </w:r>
    </w:p>
    <w:p>
      <w:pPr>
        <w:spacing w:line="360" w:lineRule="auto"/>
        <w:ind w:firstLine="500"/>
        <w:rPr>
          <w:rFonts w:hint="eastAsia" w:ascii="宋体" w:hAnsi="宋体" w:eastAsia="宋体" w:cs="宋体"/>
          <w:color w:val="auto"/>
          <w:sz w:val="24"/>
          <w:highlight w:val="none"/>
        </w:rPr>
      </w:pPr>
      <w:r>
        <w:rPr>
          <w:rFonts w:hint="eastAsia" w:ascii="宋体" w:hAnsi="宋体" w:eastAsia="宋体" w:cs="宋体"/>
          <w:color w:val="auto"/>
          <w:sz w:val="24"/>
          <w:highlight w:val="none"/>
        </w:rPr>
        <w:t>34.3中标人应当按照合同约定履行义务，完成中标项目施工，不得将中标项目施工转让（转包）给他人。</w:t>
      </w:r>
    </w:p>
    <w:p>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35.履约担保</w:t>
      </w:r>
    </w:p>
    <w:p>
      <w:pPr>
        <w:spacing w:line="360" w:lineRule="auto"/>
        <w:ind w:left="-2" w:firstLine="502"/>
        <w:rPr>
          <w:rFonts w:hint="eastAsia" w:ascii="宋体" w:hAnsi="宋体" w:eastAsia="宋体" w:cs="宋体"/>
          <w:color w:val="auto"/>
          <w:sz w:val="24"/>
          <w:highlight w:val="none"/>
        </w:rPr>
      </w:pPr>
      <w:r>
        <w:rPr>
          <w:rFonts w:hint="eastAsia" w:ascii="宋体" w:hAnsi="宋体" w:eastAsia="宋体" w:cs="宋体"/>
          <w:color w:val="auto"/>
          <w:sz w:val="24"/>
          <w:highlight w:val="none"/>
        </w:rPr>
        <w:t>35.1 合同协议书签署的同时，中标人应按须知前附表规定的金额向招标人提交履约担保。</w:t>
      </w:r>
    </w:p>
    <w:p>
      <w:pPr>
        <w:spacing w:line="360" w:lineRule="auto"/>
        <w:ind w:firstLine="500"/>
        <w:rPr>
          <w:rFonts w:hint="eastAsia" w:ascii="宋体" w:hAnsi="宋体" w:eastAsia="宋体" w:cs="宋体"/>
          <w:color w:val="auto"/>
          <w:sz w:val="24"/>
          <w:highlight w:val="none"/>
        </w:rPr>
      </w:pPr>
      <w:r>
        <w:rPr>
          <w:rFonts w:hint="eastAsia" w:ascii="宋体" w:hAnsi="宋体" w:eastAsia="宋体" w:cs="宋体"/>
          <w:color w:val="auto"/>
          <w:sz w:val="24"/>
          <w:highlight w:val="none"/>
        </w:rPr>
        <w:t>35.2 若中标人不能按投标须知中相关规定执行，招标人将有权解除合同，并没收其投标保证金，给招标人造成的损失超过投标担保数额的，还应当对超过部分予以赔偿。</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35.3履约担保返还时限</w:t>
      </w:r>
    </w:p>
    <w:p>
      <w:pPr>
        <w:tabs>
          <w:tab w:val="left" w:pos="2040"/>
        </w:tabs>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lang w:val="en-US" w:eastAsia="zh-CN"/>
        </w:rPr>
        <w:t>在设备安装调试完毕，验收合格无质量问题交付使用后无息退还。（特别约定的除外）。</w:t>
      </w:r>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36.支付担保</w:t>
      </w:r>
    </w:p>
    <w:p>
      <w:pPr>
        <w:spacing w:line="360" w:lineRule="auto"/>
        <w:ind w:firstLine="500"/>
        <w:rPr>
          <w:rFonts w:hint="eastAsia" w:ascii="宋体" w:hAnsi="宋体" w:eastAsia="宋体" w:cs="宋体"/>
          <w:color w:val="auto"/>
          <w:sz w:val="24"/>
          <w:highlight w:val="none"/>
        </w:rPr>
      </w:pPr>
      <w:r>
        <w:rPr>
          <w:rFonts w:hint="eastAsia" w:ascii="宋体" w:hAnsi="宋体" w:eastAsia="宋体" w:cs="宋体"/>
          <w:color w:val="auto"/>
          <w:sz w:val="24"/>
          <w:highlight w:val="none"/>
        </w:rPr>
        <w:t>本工程是否实行工程款支付担保及有关规定见前附表规定，如实行，招标人最迟也将在签订合同的同时向中标人提交。</w:t>
      </w:r>
    </w:p>
    <w:p>
      <w:pPr>
        <w:pStyle w:val="13"/>
        <w:spacing w:line="360" w:lineRule="auto"/>
        <w:jc w:val="center"/>
        <w:outlineLvl w:val="1"/>
        <w:rPr>
          <w:rFonts w:hint="eastAsia" w:ascii="宋体" w:hAnsi="宋体" w:eastAsia="宋体" w:cs="宋体"/>
          <w:b/>
          <w:bCs/>
          <w:color w:val="auto"/>
          <w:sz w:val="24"/>
          <w:szCs w:val="24"/>
          <w:highlight w:val="none"/>
        </w:rPr>
      </w:pPr>
      <w:bookmarkStart w:id="64" w:name="_Toc31880"/>
      <w:r>
        <w:rPr>
          <w:rFonts w:hint="eastAsia" w:ascii="宋体" w:hAnsi="宋体" w:eastAsia="宋体" w:cs="宋体"/>
          <w:b/>
          <w:bCs/>
          <w:color w:val="auto"/>
          <w:sz w:val="24"/>
          <w:szCs w:val="24"/>
          <w:highlight w:val="none"/>
        </w:rPr>
        <w:t>（</w:t>
      </w:r>
      <w:r>
        <w:rPr>
          <w:rFonts w:hint="eastAsia" w:ascii="宋体" w:hAnsi="宋体" w:eastAsia="宋体" w:cs="宋体"/>
          <w:b/>
          <w:color w:val="auto"/>
          <w:sz w:val="28"/>
          <w:szCs w:val="28"/>
          <w:highlight w:val="none"/>
        </w:rPr>
        <w:t>八）电子开评标相关要求</w:t>
      </w:r>
      <w:bookmarkEnd w:id="64"/>
    </w:p>
    <w:p>
      <w:pPr>
        <w:pStyle w:val="13"/>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37.注册登记</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37.1本项目只接受安徽省公共资源交易市场主体库（以下简称市场主体库）已审核通过的企业投标，未入库的潜在投标人请及时办理入库手续（具体详见铜陵市公共资源交易中心网站。</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37.2上传企业证件扫描件与基本信息</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在投标前应根据招标文件要求自行在市场主体库中登记企业的基本信息，并上传有关资质信息原件扫描件，基本信息必须与扫描件完全一致，如因未正确上传或未及时更新企业基本信息及证件扫描件，被认定废标的，由投标人自行承担责任。（</w:t>
      </w:r>
      <w:r>
        <w:rPr>
          <w:rFonts w:hint="eastAsia" w:ascii="宋体" w:hAnsi="宋体" w:eastAsia="宋体" w:cs="宋体"/>
          <w:b/>
          <w:bCs/>
          <w:color w:val="auto"/>
          <w:sz w:val="24"/>
          <w:szCs w:val="24"/>
          <w:highlight w:val="none"/>
        </w:rPr>
        <w:t>所有上传的资料窗口验证后将在系统中更新，评标系统无法读取未被验证的信息。</w:t>
      </w:r>
      <w:r>
        <w:rPr>
          <w:rFonts w:hint="eastAsia" w:ascii="宋体" w:hAnsi="宋体" w:eastAsia="宋体" w:cs="宋体"/>
          <w:color w:val="auto"/>
          <w:sz w:val="24"/>
          <w:szCs w:val="24"/>
          <w:highlight w:val="none"/>
        </w:rPr>
        <w:t>）</w:t>
      </w:r>
    </w:p>
    <w:p>
      <w:pPr>
        <w:pStyle w:val="13"/>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38.办理电子数字证书（CA证书）</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38.1投标人应当取得和正确使用数字证书及电子印章，其在系统中所有操作都具有法律效力，并承担法律责任。如未办理的，请及时到铜陵市公共资源交易中心二楼会员窗口咨询办理。投标人需通过数字证书对投标文件相关内容进行加密并电子签章，并妥善保管数字证书。</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38.2数字证书到期后投标人必须及时到证书颁发机构续期，并对投标文件重新加密，且在投标截止时间之前上传至系统；(续期会使电子证书编号不一致导致之前加密的电子标书无法解密，请务必在投标前提前办理续期手续或重新加密上传文件。)</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38.3数字证书因遗失、损坏、企业信息变更等情况，投标人应提前更换新证书。投标人在开标前务必确认数字证书是否正常使用，由于数字证书遗失、损坏、更换、续期等情况导致投标文件无法解密，由投标人自行承担责任。</w:t>
      </w:r>
    </w:p>
    <w:p>
      <w:pPr>
        <w:pStyle w:val="13"/>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39.下载招标文件</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投标人在</w:t>
      </w:r>
      <w:r>
        <w:rPr>
          <w:rFonts w:hint="eastAsia" w:ascii="宋体" w:hAnsi="宋体" w:eastAsia="宋体" w:cs="宋体"/>
          <w:color w:val="auto"/>
          <w:sz w:val="24"/>
          <w:szCs w:val="24"/>
          <w:highlight w:val="none"/>
          <w:lang w:val="en-US"/>
        </w:rPr>
        <w:t>规定时间内</w:t>
      </w:r>
      <w:r>
        <w:rPr>
          <w:rFonts w:hint="eastAsia" w:ascii="宋体" w:hAnsi="宋体" w:eastAsia="宋体" w:cs="宋体"/>
          <w:color w:val="auto"/>
          <w:sz w:val="24"/>
          <w:szCs w:val="24"/>
          <w:highlight w:val="none"/>
        </w:rPr>
        <w:t>登录系统下载招标文件和其他相关资料。如有补疑、答疑、澄清和修改，招标人在网上澄清公告栏发布相关内容，投标人应及时上网查阅，通过系统下载最新的答疑文件，据此制作投标文件。</w:t>
      </w:r>
    </w:p>
    <w:p>
      <w:pPr>
        <w:pStyle w:val="13"/>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40.制作投标文件</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40.1投标人在铜陵市公共资源交易网上下载专区下载“投标文件制作软件”，通过软件制作、生成投标文件。技术问题咨询电话：400-998-0000。</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40.2制作电子投标文件时请插上数字证书、打开投标文件制作软件、导入电子招标文件（答疑文件），按要求制作投标文件。</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40.3投标文件中相关资格审查资料根据招标文件要求可用附件形式上传至投标文件制作软件中。</w:t>
      </w:r>
    </w:p>
    <w:p>
      <w:pPr>
        <w:pStyle w:val="13"/>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41.上传投标文件</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41.1投标人应提前做好电子投标文件上传工作并在系统进行确认，因操作错误可在系统中进行撤回。</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41.2经数字证书加密的投标文件必须在投标截止时间前完成上传，加密和解密必须使用同一数字证书,主锁和副锁因证书号不一致不可混用，如因电子锁携带错误导致无法解密的投标人自行承担责任。</w:t>
      </w:r>
    </w:p>
    <w:p>
      <w:pPr>
        <w:pStyle w:val="13"/>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42.提交保证金</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42.1转账形式的投标保证金到账截止时间为招标公告规定的时间。投标保证金必须从投标人基本账户汇入到指定账户。</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42.2</w:t>
      </w:r>
      <w:r>
        <w:rPr>
          <w:rFonts w:hint="eastAsia" w:ascii="宋体" w:hAnsi="宋体" w:eastAsia="宋体" w:cs="宋体"/>
          <w:b/>
          <w:bCs/>
          <w:color w:val="auto"/>
          <w:sz w:val="24"/>
          <w:szCs w:val="24"/>
          <w:highlight w:val="none"/>
        </w:rPr>
        <w:t>非转账形式的投标保证金的递交要求具体要求见投标须知前附表。</w:t>
      </w:r>
    </w:p>
    <w:p>
      <w:pPr>
        <w:pStyle w:val="13"/>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43.开标时出现下列情形之一的，拒绝其投标。</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43.1未在投标截止时间前通过系统提交电子投标文件的；</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43.2投标保证金汇入账户与企业库登记账户及扫描件信息必须三者信息完全一致，开标前未到达指定账户或账户填写信息、扫描件信息不匹配的投标文件不予接受；</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43.3投标人无法使用数字证书锁解密标书，且排除交易系统或解密设备故障的，则拒绝企业继续投标。</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43.4如因交易系统问题，导致所有投标人均无法解密电子标书时，则启用未加密的电子投标文件作为补救措施，如投标人未在投标截止时间之前开标现场递交未加密的电子投标文件，视为放弃补救措施，未加密的电子投标文件和网上递交的加密投标文件识别码必须一致。</w:t>
      </w:r>
    </w:p>
    <w:p>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43.5不符合招标文件其他要求或对电子开标活动造成严重后果的其它情形。</w:t>
      </w:r>
    </w:p>
    <w:p>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pPr>
        <w:pStyle w:val="4"/>
        <w:rPr>
          <w:rFonts w:hint="eastAsia" w:ascii="宋体" w:hAnsi="宋体" w:eastAsia="宋体" w:cs="宋体"/>
          <w:color w:val="auto"/>
          <w:highlight w:val="none"/>
        </w:rPr>
      </w:pPr>
      <w:bookmarkStart w:id="65" w:name="_Toc1227"/>
      <w:r>
        <w:rPr>
          <w:rFonts w:hint="eastAsia" w:ascii="宋体" w:hAnsi="宋体" w:eastAsia="宋体" w:cs="宋体"/>
          <w:color w:val="auto"/>
          <w:highlight w:val="none"/>
        </w:rPr>
        <w:t>第二章</w:t>
      </w:r>
      <w:r>
        <w:rPr>
          <w:rFonts w:hint="eastAsia" w:ascii="宋体" w:hAnsi="宋体" w:eastAsia="宋体" w:cs="宋体"/>
          <w:color w:val="auto"/>
          <w:highlight w:val="none"/>
          <w:lang w:val="en-US"/>
        </w:rPr>
        <w:t xml:space="preserve">  </w:t>
      </w:r>
      <w:r>
        <w:rPr>
          <w:rFonts w:hint="eastAsia" w:ascii="宋体" w:hAnsi="宋体" w:eastAsia="宋体" w:cs="宋体"/>
          <w:color w:val="auto"/>
          <w:highlight w:val="none"/>
        </w:rPr>
        <w:t>评标办法</w:t>
      </w:r>
      <w:bookmarkEnd w:id="47"/>
      <w:bookmarkEnd w:id="48"/>
      <w:bookmarkEnd w:id="65"/>
    </w:p>
    <w:p>
      <w:pPr>
        <w:ind w:left="718" w:right="711"/>
        <w:jc w:val="center"/>
        <w:rPr>
          <w:rFonts w:hint="eastAsia" w:ascii="宋体" w:hAnsi="宋体" w:eastAsia="宋体" w:cs="宋体"/>
          <w:b/>
          <w:color w:val="auto"/>
          <w:sz w:val="28"/>
          <w:highlight w:val="none"/>
        </w:rPr>
      </w:pPr>
      <w:bookmarkStart w:id="66" w:name="综合评估法"/>
      <w:bookmarkEnd w:id="66"/>
      <w:r>
        <w:rPr>
          <w:rFonts w:hint="eastAsia" w:ascii="宋体" w:hAnsi="宋体" w:eastAsia="宋体" w:cs="宋体"/>
          <w:b/>
          <w:color w:val="auto"/>
          <w:sz w:val="28"/>
          <w:highlight w:val="none"/>
        </w:rPr>
        <w:t>综合评估法</w:t>
      </w:r>
    </w:p>
    <w:p>
      <w:pPr>
        <w:pStyle w:val="43"/>
        <w:numPr>
          <w:ilvl w:val="0"/>
          <w:numId w:val="0"/>
        </w:numPr>
        <w:tabs>
          <w:tab w:val="left" w:pos="783"/>
        </w:tabs>
        <w:spacing w:line="360" w:lineRule="auto"/>
        <w:ind w:left="197" w:leftChars="0"/>
        <w:rPr>
          <w:rFonts w:hint="eastAsia" w:ascii="宋体" w:hAnsi="宋体" w:eastAsia="宋体" w:cs="宋体"/>
          <w:color w:val="auto"/>
          <w:sz w:val="24"/>
          <w:highlight w:val="none"/>
        </w:rPr>
      </w:pPr>
      <w:bookmarkStart w:id="67" w:name="1.总则：为维护招投标双方的合法权益，增加评标工作透明度，保证评标、定标的科学性"/>
      <w:bookmarkEnd w:id="67"/>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总则</w:t>
      </w:r>
    </w:p>
    <w:p>
      <w:pPr>
        <w:spacing w:before="72" w:line="358" w:lineRule="auto"/>
        <w:ind w:left="3" w:right="65" w:firstLine="439"/>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为维护招投标双方的合法权益，增加评标工作透明度，保证评标、定标的科学性、公正性和可操作性，根据《招标投标法》、《招标投标法实施条例》、《评标委员会和评标办法暂行规定（七部委 12号令）》等法律法规的精神，结合本市实际制定本办法。本招标文件其它部分与本评标办法不一致的，以本办法的规定为准。</w:t>
      </w:r>
    </w:p>
    <w:p>
      <w:pPr>
        <w:pStyle w:val="43"/>
        <w:numPr>
          <w:ilvl w:val="0"/>
          <w:numId w:val="0"/>
        </w:numPr>
        <w:tabs>
          <w:tab w:val="left" w:pos="783"/>
        </w:tabs>
        <w:spacing w:line="360" w:lineRule="auto"/>
        <w:ind w:left="197" w:leftChars="0"/>
        <w:rPr>
          <w:rFonts w:hint="eastAsia" w:ascii="宋体" w:hAnsi="宋体" w:eastAsia="宋体" w:cs="宋体"/>
          <w:b/>
          <w:color w:val="auto"/>
          <w:highlight w:val="none"/>
        </w:rPr>
      </w:pPr>
      <w:bookmarkStart w:id="68" w:name="2.开标评标程序"/>
      <w:bookmarkEnd w:id="68"/>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开标评标程序</w:t>
      </w:r>
    </w:p>
    <w:p>
      <w:pPr>
        <w:spacing w:before="72" w:line="358" w:lineRule="auto"/>
        <w:ind w:left="3" w:right="65" w:firstLine="439"/>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lang w:val="en-US" w:eastAsia="zh-CN"/>
        </w:rPr>
        <w:t>2.1</w:t>
      </w:r>
      <w:r>
        <w:rPr>
          <w:rFonts w:hint="eastAsia" w:ascii="宋体" w:hAnsi="宋体" w:eastAsia="宋体" w:cs="宋体"/>
          <w:color w:val="auto"/>
          <w:spacing w:val="-10"/>
          <w:sz w:val="24"/>
          <w:szCs w:val="24"/>
          <w:highlight w:val="none"/>
        </w:rPr>
        <w:t>开标时，评标委员会应按照本章规定的评审顺序依次进行。前一顺序评审通过的方可进行下一顺序评审，已进入下一顺序评审的，评审委员会不应再对前面顺序评审的结果进行重新复核。</w:t>
      </w:r>
    </w:p>
    <w:p>
      <w:pPr>
        <w:spacing w:before="72" w:line="358" w:lineRule="auto"/>
        <w:ind w:left="3" w:right="65" w:firstLine="439"/>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lang w:val="en-US" w:eastAsia="zh-CN"/>
        </w:rPr>
        <w:t>2.2</w:t>
      </w:r>
      <w:r>
        <w:rPr>
          <w:rFonts w:hint="eastAsia" w:ascii="宋体" w:hAnsi="宋体" w:eastAsia="宋体" w:cs="宋体"/>
          <w:color w:val="auto"/>
          <w:spacing w:val="-10"/>
          <w:sz w:val="24"/>
          <w:szCs w:val="24"/>
          <w:highlight w:val="none"/>
        </w:rPr>
        <w:t>实行网上电子开评标的，电子投标文件由投标人一次性解密，解密顺序如下：</w:t>
      </w:r>
    </w:p>
    <w:p>
      <w:pPr>
        <w:spacing w:before="72" w:line="358" w:lineRule="auto"/>
        <w:ind w:left="3" w:right="65" w:firstLine="439"/>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①电子数据文件，一般情况下均应使用此方式解密。</w:t>
      </w:r>
    </w:p>
    <w:p>
      <w:pPr>
        <w:spacing w:before="72" w:line="358" w:lineRule="auto"/>
        <w:ind w:left="3" w:right="65" w:firstLine="439"/>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②数据光盘，仅在我市公共资源交易系统或解密设备出现故障，导致投标人电子数据文件无法解密时方可使用。</w:t>
      </w:r>
    </w:p>
    <w:p>
      <w:pPr>
        <w:spacing w:before="72" w:line="358" w:lineRule="auto"/>
        <w:ind w:left="3" w:right="65" w:firstLine="439"/>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投标人可自由选择在开标现场解密或远程解密投标文件，但应在约定的时间内完成，具体解密时限由招标代理机构在开标现场和交易系统中明确告知。</w:t>
      </w:r>
    </w:p>
    <w:p>
      <w:pPr>
        <w:spacing w:before="72" w:line="358" w:lineRule="auto"/>
        <w:ind w:left="3" w:right="65" w:firstLine="439"/>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lang w:val="en-US" w:eastAsia="zh-CN"/>
        </w:rPr>
        <w:t>2.3</w:t>
      </w:r>
      <w:r>
        <w:rPr>
          <w:rFonts w:hint="eastAsia" w:ascii="宋体" w:hAnsi="宋体" w:eastAsia="宋体" w:cs="宋体"/>
          <w:color w:val="auto"/>
          <w:spacing w:val="-10"/>
          <w:sz w:val="24"/>
          <w:szCs w:val="24"/>
          <w:highlight w:val="none"/>
        </w:rPr>
        <w:t>实行网上电子开评标，出现以下情况之一的，视为撤销投标或作无效投标处理：</w:t>
      </w:r>
    </w:p>
    <w:p>
      <w:pPr>
        <w:spacing w:before="72" w:line="358" w:lineRule="auto"/>
        <w:ind w:left="3" w:right="65" w:firstLine="439"/>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①投标人未按招标文件规定，提交有效电子投标文件的；</w:t>
      </w:r>
    </w:p>
    <w:p>
      <w:pPr>
        <w:spacing w:before="72" w:line="358" w:lineRule="auto"/>
        <w:ind w:left="3" w:right="65" w:firstLine="439"/>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②因投标人原因，造成递交的电子投标文件无法解密或未在规定的时间内解密的；</w:t>
      </w:r>
    </w:p>
    <w:p>
      <w:pPr>
        <w:spacing w:before="72" w:line="358" w:lineRule="auto"/>
        <w:ind w:left="3" w:right="65" w:firstLine="439"/>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③投标人递交的电子投标文件因编制不规范，无法导入评标系统的；</w:t>
      </w:r>
    </w:p>
    <w:p>
      <w:pPr>
        <w:spacing w:before="72" w:line="358" w:lineRule="auto"/>
        <w:ind w:left="3" w:right="65" w:firstLine="439"/>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④递交的未加密的电子投标文件和网上递交的加密投标文件识别码不一致的。</w:t>
      </w:r>
    </w:p>
    <w:p>
      <w:pPr>
        <w:spacing w:before="72" w:line="358" w:lineRule="auto"/>
        <w:ind w:left="3" w:right="65" w:firstLine="439"/>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lang w:val="en-US" w:eastAsia="zh-CN"/>
        </w:rPr>
        <w:t>2.4</w:t>
      </w:r>
      <w:r>
        <w:rPr>
          <w:rFonts w:hint="eastAsia" w:ascii="宋体" w:hAnsi="宋体" w:eastAsia="宋体" w:cs="宋体"/>
          <w:color w:val="auto"/>
          <w:spacing w:val="-10"/>
          <w:sz w:val="24"/>
          <w:szCs w:val="24"/>
          <w:highlight w:val="none"/>
        </w:rPr>
        <w:t>评标委员会对招标文件及评标方法中存在模糊不清、不易理解的内容，可要求招标人或代理机构解释澄清。解释澄清的内容合理的，评委会应当接受；解释澄清的内容超出了招标文件字面含义、违背了相关法律法规的，评委会应当拒绝并根据自己的专业素质做出判断。</w:t>
      </w:r>
    </w:p>
    <w:p>
      <w:pPr>
        <w:spacing w:before="72" w:line="358" w:lineRule="auto"/>
        <w:ind w:left="3" w:right="65" w:firstLine="439"/>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lang w:val="en-US" w:eastAsia="zh-CN"/>
        </w:rPr>
        <w:t>2.5</w:t>
      </w:r>
      <w:r>
        <w:rPr>
          <w:rFonts w:hint="eastAsia" w:ascii="宋体" w:hAnsi="宋体" w:eastAsia="宋体" w:cs="宋体"/>
          <w:color w:val="auto"/>
          <w:spacing w:val="-10"/>
          <w:sz w:val="24"/>
          <w:szCs w:val="24"/>
          <w:highlight w:val="none"/>
        </w:rPr>
        <w:t>未采用全程电子化的项目，现场出席开标会议的投标人法定代表人或授权委托人在答复专家质询或对开评标程序提出异议时需出示身份证原件，并提供身份证件复印件交招标代理机构核验（授权委托人同时需提交授权委托书，法人需提供法人身份证明书），不能证明身份的澄清无效，并视为放弃澄清的权力，不能证明身份的异议不被接收。采用全程电子化交易的项目，澄清需通过交易系统签章提交。</w:t>
      </w:r>
    </w:p>
    <w:p>
      <w:pPr>
        <w:spacing w:before="72" w:line="358" w:lineRule="auto"/>
        <w:ind w:left="3" w:right="65" w:firstLine="439"/>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lang w:val="en-US" w:eastAsia="zh-CN"/>
        </w:rPr>
        <w:t>2.6</w:t>
      </w:r>
      <w:r>
        <w:rPr>
          <w:rFonts w:hint="eastAsia" w:ascii="宋体" w:hAnsi="宋体" w:eastAsia="宋体" w:cs="宋体"/>
          <w:color w:val="auto"/>
          <w:spacing w:val="-10"/>
          <w:sz w:val="24"/>
          <w:szCs w:val="24"/>
          <w:highlight w:val="none"/>
        </w:rPr>
        <w:t>如本招标文件的部分投标文件格式要求与电子交易系统不相一致（例如诚信承诺书的格式不一致等），投标人按照本招标文件的格式要求填写或按电子交易系统格式要求填写均为有效投标。</w:t>
      </w:r>
    </w:p>
    <w:p>
      <w:pPr>
        <w:spacing w:before="72" w:line="358" w:lineRule="auto"/>
        <w:ind w:left="3" w:right="65" w:firstLine="439"/>
        <w:rPr>
          <w:rFonts w:hint="eastAsia" w:ascii="宋体" w:hAnsi="宋体" w:eastAsia="宋体" w:cs="宋体"/>
          <w:color w:val="auto"/>
          <w:sz w:val="24"/>
          <w:highlight w:val="none"/>
        </w:rPr>
      </w:pPr>
      <w:r>
        <w:rPr>
          <w:rFonts w:hint="eastAsia" w:ascii="宋体" w:hAnsi="宋体" w:eastAsia="宋体" w:cs="宋体"/>
          <w:color w:val="auto"/>
          <w:spacing w:val="-10"/>
          <w:sz w:val="24"/>
          <w:szCs w:val="24"/>
          <w:highlight w:val="none"/>
          <w:lang w:val="en-US" w:eastAsia="zh-CN"/>
        </w:rPr>
        <w:t>2.7</w:t>
      </w:r>
      <w:r>
        <w:rPr>
          <w:rFonts w:hint="eastAsia" w:ascii="宋体" w:hAnsi="宋体" w:eastAsia="宋体" w:cs="宋体"/>
          <w:color w:val="auto"/>
          <w:spacing w:val="-10"/>
          <w:sz w:val="24"/>
          <w:szCs w:val="24"/>
          <w:highlight w:val="none"/>
        </w:rPr>
        <w:t>评标委员会按评标办法，推荐有排序的预中标候选人。对否定的投标文件，评委要提出充足的否定理由，并填写在评标记录上；对认定出现异议的，按照少数服从多数的原则由评委采取投票方式表决确定。评委对评标结论有异议的应用书面方式阐述，</w:t>
      </w:r>
      <w:r>
        <w:rPr>
          <w:rFonts w:hint="eastAsia" w:ascii="宋体" w:hAnsi="宋体" w:eastAsia="宋体" w:cs="宋体"/>
          <w:color w:val="auto"/>
          <w:sz w:val="24"/>
          <w:highlight w:val="none"/>
        </w:rPr>
        <w:t>评委拒绝在评标报告上签字且不陈述其不同意见和理由的，视为同意评标结论。</w:t>
      </w:r>
    </w:p>
    <w:p>
      <w:pPr>
        <w:spacing w:before="72" w:line="358" w:lineRule="auto"/>
        <w:ind w:left="3" w:right="65" w:firstLine="439"/>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lang w:val="en-US" w:eastAsia="zh-CN"/>
        </w:rPr>
        <w:t>2.8</w:t>
      </w:r>
      <w:r>
        <w:rPr>
          <w:rFonts w:hint="eastAsia" w:ascii="宋体" w:hAnsi="宋体" w:eastAsia="宋体" w:cs="宋体"/>
          <w:color w:val="auto"/>
          <w:spacing w:val="-10"/>
          <w:sz w:val="24"/>
          <w:szCs w:val="24"/>
          <w:highlight w:val="none"/>
        </w:rPr>
        <w:t>当通过投标资格评审或商务标初步评审的投标人少于3家的，评标委员会应当对本次招标是否具有竞争性进行评审。评标委员会所有成员一致认为仍具有竞争性的，应当继续评审，并在评标报告中予以说明。评标委员会个别或全部成员认为不再具有竞争性的，评标委员会应当否决全部投标，本次招标做流标处理。</w:t>
      </w:r>
    </w:p>
    <w:p>
      <w:pPr>
        <w:spacing w:before="72" w:line="358" w:lineRule="auto"/>
        <w:ind w:left="3" w:right="65" w:firstLine="439"/>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lang w:val="en-US" w:eastAsia="zh-CN"/>
        </w:rPr>
        <w:t>2.9</w:t>
      </w:r>
      <w:r>
        <w:rPr>
          <w:rFonts w:hint="eastAsia" w:ascii="宋体" w:hAnsi="宋体" w:eastAsia="宋体" w:cs="宋体"/>
          <w:color w:val="auto"/>
          <w:spacing w:val="-10"/>
          <w:sz w:val="24"/>
          <w:szCs w:val="24"/>
          <w:highlight w:val="none"/>
        </w:rPr>
        <w:t>流标的项目，评标委员会除应在评标报告上说明认定项目流标的理由外，还应分析流标产生的可能原因、招标文件有无不合理条款，并提出预防再次流标的措施和建议。</w:t>
      </w:r>
    </w:p>
    <w:p>
      <w:pPr>
        <w:pStyle w:val="8"/>
        <w:numPr>
          <w:ilvl w:val="0"/>
          <w:numId w:val="0"/>
        </w:numPr>
        <w:tabs>
          <w:tab w:val="left" w:pos="851"/>
        </w:tabs>
        <w:spacing w:line="360" w:lineRule="auto"/>
        <w:ind w:left="197" w:leftChars="0"/>
        <w:rPr>
          <w:rFonts w:hint="eastAsia" w:ascii="宋体" w:hAnsi="宋体" w:eastAsia="宋体" w:cs="宋体"/>
          <w:color w:val="auto"/>
          <w:highlight w:val="none"/>
        </w:rPr>
      </w:pPr>
      <w:bookmarkStart w:id="69" w:name="3._投标资格评审"/>
      <w:bookmarkEnd w:id="69"/>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投标资格评审</w:t>
      </w:r>
    </w:p>
    <w:tbl>
      <w:tblPr>
        <w:tblStyle w:val="24"/>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361"/>
        <w:gridCol w:w="2462"/>
        <w:gridCol w:w="2151"/>
        <w:gridCol w:w="29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2" w:hRule="atLeast"/>
          <w:jc w:val="center"/>
        </w:trPr>
        <w:tc>
          <w:tcPr>
            <w:tcW w:w="759" w:type="pct"/>
            <w:tcBorders>
              <w:tl2br w:val="nil"/>
              <w:tr2bl w:val="nil"/>
            </w:tcBorders>
            <w:vAlign w:val="center"/>
          </w:tcPr>
          <w:p>
            <w:pPr>
              <w:pStyle w:val="44"/>
              <w:ind w:left="14"/>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评审项目</w:t>
            </w:r>
          </w:p>
        </w:tc>
        <w:tc>
          <w:tcPr>
            <w:tcW w:w="1372" w:type="pct"/>
            <w:tcBorders>
              <w:tl2br w:val="nil"/>
              <w:tr2bl w:val="nil"/>
            </w:tcBorders>
            <w:vAlign w:val="center"/>
          </w:tcPr>
          <w:p>
            <w:pPr>
              <w:pStyle w:val="44"/>
              <w:ind w:left="14"/>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合格标准</w:t>
            </w:r>
          </w:p>
        </w:tc>
        <w:tc>
          <w:tcPr>
            <w:tcW w:w="1199" w:type="pct"/>
            <w:tcBorders>
              <w:tl2br w:val="nil"/>
              <w:tr2bl w:val="nil"/>
            </w:tcBorders>
            <w:vAlign w:val="center"/>
          </w:tcPr>
          <w:p>
            <w:pPr>
              <w:pStyle w:val="44"/>
              <w:ind w:left="14"/>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有效证明材料</w:t>
            </w:r>
          </w:p>
        </w:tc>
        <w:tc>
          <w:tcPr>
            <w:tcW w:w="1668" w:type="pct"/>
            <w:tcBorders>
              <w:tl2br w:val="nil"/>
              <w:tr2bl w:val="nil"/>
            </w:tcBorders>
            <w:vAlign w:val="center"/>
          </w:tcPr>
          <w:p>
            <w:pPr>
              <w:pStyle w:val="44"/>
              <w:ind w:left="14"/>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情况说明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1" w:hRule="atLeast"/>
          <w:jc w:val="center"/>
        </w:trPr>
        <w:tc>
          <w:tcPr>
            <w:tcW w:w="759" w:type="pct"/>
            <w:tcBorders>
              <w:tl2br w:val="nil"/>
              <w:tr2bl w:val="nil"/>
            </w:tcBorders>
            <w:vAlign w:val="center"/>
          </w:tcPr>
          <w:p>
            <w:pPr>
              <w:pStyle w:val="44"/>
              <w:spacing w:before="1"/>
              <w:ind w:left="14"/>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w:t>
            </w:r>
          </w:p>
        </w:tc>
        <w:tc>
          <w:tcPr>
            <w:tcW w:w="1372" w:type="pct"/>
            <w:tcBorders>
              <w:tl2br w:val="nil"/>
              <w:tr2bl w:val="nil"/>
            </w:tcBorders>
            <w:vAlign w:val="center"/>
          </w:tcPr>
          <w:p>
            <w:pPr>
              <w:pStyle w:val="44"/>
              <w:spacing w:before="1"/>
              <w:ind w:left="14"/>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详见招标公告</w:t>
            </w:r>
          </w:p>
        </w:tc>
        <w:tc>
          <w:tcPr>
            <w:tcW w:w="1199" w:type="pct"/>
            <w:tcBorders>
              <w:tl2br w:val="nil"/>
              <w:tr2bl w:val="nil"/>
            </w:tcBorders>
            <w:vAlign w:val="center"/>
          </w:tcPr>
          <w:p>
            <w:pPr>
              <w:pStyle w:val="44"/>
              <w:spacing w:before="1"/>
              <w:ind w:left="14"/>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制造商的营业执照或代理商营业执照及制造商出具的授权书</w:t>
            </w:r>
            <w:r>
              <w:rPr>
                <w:rFonts w:hint="eastAsia" w:ascii="宋体" w:hAnsi="宋体" w:eastAsia="宋体" w:cs="宋体"/>
                <w:color w:val="auto"/>
                <w:sz w:val="24"/>
                <w:szCs w:val="24"/>
                <w:highlight w:val="none"/>
                <w:lang w:val="en-US" w:eastAsia="zh-CN"/>
              </w:rPr>
              <w:t>和相关等级资质证书</w:t>
            </w:r>
          </w:p>
        </w:tc>
        <w:tc>
          <w:tcPr>
            <w:tcW w:w="1668" w:type="pct"/>
            <w:tcBorders>
              <w:tl2br w:val="nil"/>
              <w:tr2bl w:val="nil"/>
            </w:tcBorders>
            <w:vAlign w:val="center"/>
          </w:tcPr>
          <w:p>
            <w:pPr>
              <w:pStyle w:val="44"/>
              <w:ind w:left="-3" w:right="1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复印件或扫描件放入投标文件，纸质证照和电子证照皆可。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05" w:hRule="atLeast"/>
          <w:jc w:val="center"/>
        </w:trPr>
        <w:tc>
          <w:tcPr>
            <w:tcW w:w="759" w:type="pct"/>
            <w:tcBorders>
              <w:tl2br w:val="nil"/>
              <w:tr2bl w:val="nil"/>
            </w:tcBorders>
            <w:vAlign w:val="center"/>
          </w:tcPr>
          <w:p>
            <w:pPr>
              <w:pStyle w:val="44"/>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投标保证金</w:t>
            </w:r>
          </w:p>
        </w:tc>
        <w:tc>
          <w:tcPr>
            <w:tcW w:w="1372" w:type="pct"/>
            <w:tcBorders>
              <w:tl2br w:val="nil"/>
              <w:tr2bl w:val="nil"/>
            </w:tcBorders>
            <w:vAlign w:val="center"/>
          </w:tcPr>
          <w:p>
            <w:pPr>
              <w:pStyle w:val="44"/>
              <w:ind w:left="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对照招标文件的要求查询保证金缴纳形式、缴入账号、时间、金额是否符合要求</w:t>
            </w:r>
          </w:p>
        </w:tc>
        <w:tc>
          <w:tcPr>
            <w:tcW w:w="1199" w:type="pct"/>
            <w:tcBorders>
              <w:tl2br w:val="nil"/>
              <w:tr2bl w:val="nil"/>
            </w:tcBorders>
            <w:vAlign w:val="center"/>
          </w:tcPr>
          <w:p>
            <w:pPr>
              <w:pStyle w:val="44"/>
              <w:ind w:left="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转账形式保证金应从投标单位基本账户转入指定账户，转账记录复印件或扫描件加盖公章放入投标文件中。</w:t>
            </w:r>
          </w:p>
          <w:p>
            <w:pPr>
              <w:pStyle w:val="44"/>
              <w:ind w:left="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2.保函、保证保险等复印件或扫描件加盖公章放入投标文件中。</w:t>
            </w:r>
          </w:p>
        </w:tc>
        <w:tc>
          <w:tcPr>
            <w:tcW w:w="1668" w:type="pct"/>
            <w:tcBorders>
              <w:tl2br w:val="nil"/>
              <w:tr2bl w:val="nil"/>
            </w:tcBorders>
            <w:vAlign w:val="center"/>
          </w:tcPr>
          <w:p>
            <w:pPr>
              <w:pStyle w:val="44"/>
              <w:ind w:left="-3" w:right="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1.转账形式保证金及电子保函缴纳情况由系统与已经投标并解密的投标人名单对比确认并生成名单。</w:t>
            </w:r>
          </w:p>
          <w:p>
            <w:pPr>
              <w:pStyle w:val="44"/>
              <w:ind w:left="-3" w:right="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2.非转账形式的保证金需为无条件见索即付银行保函或者担保公司保函或保险公司保证保险，保函或保证保险的主要内容符合本招标文件保函格式条款的要求。</w:t>
            </w:r>
          </w:p>
          <w:p>
            <w:pPr>
              <w:pStyle w:val="44"/>
              <w:ind w:left="-3" w:right="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3.投标保证金转出账户必须与企业库登记账户及单位基本账户扫描件完全一致。</w:t>
            </w:r>
          </w:p>
          <w:p>
            <w:pPr>
              <w:pStyle w:val="44"/>
              <w:ind w:left="-3" w:right="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4.出具保函、保证保险的机构应为在铜陵市行政区域内有分支机构的银行（本地、外地银行均可） 铜陵市行政区域内的保险公司或融资担保机构（担保机构需经安徽省地方金融监管局备案）。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jc w:val="center"/>
        </w:trPr>
        <w:tc>
          <w:tcPr>
            <w:tcW w:w="759" w:type="pct"/>
            <w:tcBorders>
              <w:tl2br w:val="nil"/>
              <w:tr2bl w:val="nil"/>
            </w:tcBorders>
            <w:vAlign w:val="center"/>
          </w:tcPr>
          <w:p>
            <w:pPr>
              <w:pStyle w:val="44"/>
              <w:ind w:left="14"/>
              <w:jc w:val="center"/>
              <w:rPr>
                <w:rFonts w:hint="eastAsia" w:ascii="宋体" w:hAnsi="宋体" w:eastAsia="宋体" w:cs="宋体"/>
                <w:bCs/>
                <w:color w:val="auto"/>
                <w:sz w:val="24"/>
                <w:szCs w:val="24"/>
                <w:highlight w:val="none"/>
                <w:lang w:val="en-US"/>
              </w:rPr>
            </w:pPr>
            <w:r>
              <w:rPr>
                <w:rFonts w:hint="eastAsia" w:ascii="宋体" w:hAnsi="宋体" w:eastAsia="宋体" w:cs="宋体"/>
                <w:bCs/>
                <w:color w:val="auto"/>
                <w:sz w:val="24"/>
                <w:szCs w:val="24"/>
                <w:highlight w:val="none"/>
                <w:lang w:val="en-US"/>
              </w:rPr>
              <w:t>诚信承诺书</w:t>
            </w:r>
          </w:p>
        </w:tc>
        <w:tc>
          <w:tcPr>
            <w:tcW w:w="1372" w:type="pct"/>
            <w:tcBorders>
              <w:tl2br w:val="nil"/>
              <w:tr2bl w:val="nil"/>
            </w:tcBorders>
            <w:vAlign w:val="center"/>
          </w:tcPr>
          <w:p>
            <w:pPr>
              <w:pStyle w:val="44"/>
              <w:ind w:right="182"/>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无诚信承诺书中禁止的不良信用记录</w:t>
            </w:r>
          </w:p>
        </w:tc>
        <w:tc>
          <w:tcPr>
            <w:tcW w:w="1199" w:type="pct"/>
            <w:tcBorders>
              <w:tl2br w:val="nil"/>
              <w:tr2bl w:val="nil"/>
            </w:tcBorders>
            <w:vAlign w:val="center"/>
          </w:tcPr>
          <w:p>
            <w:pPr>
              <w:pStyle w:val="44"/>
              <w:ind w:left="-3" w:right="75"/>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由法定代表人签署并加盖公章的诚信承诺书</w:t>
            </w:r>
          </w:p>
        </w:tc>
        <w:tc>
          <w:tcPr>
            <w:tcW w:w="1668" w:type="pct"/>
            <w:tcBorders>
              <w:tl2br w:val="nil"/>
              <w:tr2bl w:val="nil"/>
            </w:tcBorders>
            <w:vAlign w:val="center"/>
          </w:tcPr>
          <w:p>
            <w:pPr>
              <w:pStyle w:val="44"/>
              <w:ind w:left="-3" w:right="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加盖单位公章的扫描件 或加盖单位电子印章的 电子件上传至电子投标 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jc w:val="center"/>
        </w:trPr>
        <w:tc>
          <w:tcPr>
            <w:tcW w:w="759" w:type="pct"/>
            <w:tcBorders>
              <w:tl2br w:val="nil"/>
              <w:tr2bl w:val="nil"/>
            </w:tcBorders>
            <w:vAlign w:val="center"/>
          </w:tcPr>
          <w:p>
            <w:pPr>
              <w:pStyle w:val="44"/>
              <w:ind w:left="14"/>
              <w:jc w:val="center"/>
              <w:rPr>
                <w:rFonts w:hint="eastAsia" w:ascii="宋体" w:hAnsi="宋体" w:eastAsia="宋体" w:cs="宋体"/>
                <w:bCs/>
                <w:color w:val="auto"/>
                <w:sz w:val="24"/>
                <w:szCs w:val="24"/>
                <w:highlight w:val="none"/>
                <w:lang w:val="en-US"/>
              </w:rPr>
            </w:pPr>
            <w:r>
              <w:rPr>
                <w:rFonts w:hint="eastAsia" w:ascii="宋体" w:hAnsi="宋体" w:eastAsia="宋体" w:cs="宋体"/>
                <w:bCs/>
                <w:color w:val="auto"/>
                <w:sz w:val="24"/>
                <w:szCs w:val="24"/>
                <w:highlight w:val="none"/>
                <w:lang w:val="en-US"/>
              </w:rPr>
              <w:t>授权委托书、法定代表人身份证明书</w:t>
            </w:r>
          </w:p>
        </w:tc>
        <w:tc>
          <w:tcPr>
            <w:tcW w:w="1372" w:type="pct"/>
            <w:tcBorders>
              <w:tl2br w:val="nil"/>
              <w:tr2bl w:val="nil"/>
            </w:tcBorders>
            <w:vAlign w:val="center"/>
          </w:tcPr>
          <w:p>
            <w:pPr>
              <w:pStyle w:val="44"/>
              <w:ind w:right="182"/>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非法定代表人的，提供授权委托书；法人到场的，无需授权委托书</w:t>
            </w:r>
          </w:p>
        </w:tc>
        <w:tc>
          <w:tcPr>
            <w:tcW w:w="1199" w:type="pct"/>
            <w:tcBorders>
              <w:tl2br w:val="nil"/>
              <w:tr2bl w:val="nil"/>
            </w:tcBorders>
            <w:vAlign w:val="center"/>
          </w:tcPr>
          <w:p>
            <w:pPr>
              <w:pStyle w:val="44"/>
              <w:ind w:right="182"/>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授权委托书及法定代表人身份证明书按给定格式要求填写、签字（盖章）</w:t>
            </w:r>
          </w:p>
        </w:tc>
        <w:tc>
          <w:tcPr>
            <w:tcW w:w="1668" w:type="pct"/>
            <w:tcBorders>
              <w:tl2br w:val="nil"/>
              <w:tr2bl w:val="nil"/>
            </w:tcBorders>
            <w:vAlign w:val="center"/>
          </w:tcPr>
          <w:p>
            <w:pPr>
              <w:pStyle w:val="44"/>
              <w:spacing w:before="1"/>
              <w:ind w:left="-3" w:right="1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授权委托书及法定代表人身份证明书提供原件，身份证提供扫描件或复印件加盖公章放入投标文件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jc w:val="center"/>
        </w:trPr>
        <w:tc>
          <w:tcPr>
            <w:tcW w:w="759" w:type="pct"/>
            <w:tcBorders>
              <w:tl2br w:val="nil"/>
              <w:tr2bl w:val="nil"/>
            </w:tcBorders>
            <w:vAlign w:val="center"/>
          </w:tcPr>
          <w:p>
            <w:pPr>
              <w:pStyle w:val="44"/>
              <w:ind w:left="14"/>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其他要求</w:t>
            </w:r>
          </w:p>
        </w:tc>
        <w:tc>
          <w:tcPr>
            <w:tcW w:w="4240" w:type="pct"/>
            <w:gridSpan w:val="3"/>
            <w:tcBorders>
              <w:tl2br w:val="nil"/>
              <w:tr2bl w:val="nil"/>
            </w:tcBorders>
            <w:vAlign w:val="center"/>
          </w:tcPr>
          <w:p>
            <w:pPr>
              <w:pStyle w:val="44"/>
              <w:spacing w:before="1"/>
              <w:ind w:left="-3" w:right="1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符合招标文件要求及法律法规规定的要求</w:t>
            </w:r>
          </w:p>
        </w:tc>
      </w:tr>
    </w:tbl>
    <w:p>
      <w:pPr>
        <w:pStyle w:val="2"/>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备注：</w:t>
      </w:r>
    </w:p>
    <w:p>
      <w:pPr>
        <w:pStyle w:val="2"/>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1）以上各项中有一项不符合即为不合格。不采取清单报价只报投标总价的无需提供投标报价文件的组价软件版。授权委托书及法定代表人身份证明书必须提供，身份证扫描件或复印件不作为废标条件，仅用作判定其澄清或异议效力的依据。</w:t>
      </w:r>
    </w:p>
    <w:p>
      <w:pPr>
        <w:pStyle w:val="2"/>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rPr>
        <w:t>2</w:t>
      </w:r>
      <w:r>
        <w:rPr>
          <w:rFonts w:hint="eastAsia" w:ascii="宋体" w:hAnsi="宋体" w:eastAsia="宋体" w:cs="宋体"/>
          <w:color w:val="auto"/>
          <w:highlight w:val="none"/>
        </w:rPr>
        <w:t>）各类资质证书、合同、验收报告、营业执照、施工企业及项目经理资质等级证书、安全生产考核证书等均不要求投标人提供原件。</w:t>
      </w:r>
    </w:p>
    <w:p>
      <w:pPr>
        <w:pStyle w:val="2"/>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rPr>
        <w:t>3</w:t>
      </w:r>
      <w:r>
        <w:rPr>
          <w:rFonts w:hint="eastAsia" w:ascii="宋体" w:hAnsi="宋体" w:eastAsia="宋体" w:cs="宋体"/>
          <w:color w:val="auto"/>
          <w:highlight w:val="none"/>
        </w:rPr>
        <w:t>）电子签章件与原件的效力等同。</w:t>
      </w:r>
    </w:p>
    <w:p>
      <w:pPr>
        <w:pStyle w:val="2"/>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rPr>
        <w:t>4</w:t>
      </w:r>
      <w:r>
        <w:rPr>
          <w:rFonts w:hint="eastAsia" w:ascii="宋体" w:hAnsi="宋体" w:eastAsia="宋体" w:cs="宋体"/>
          <w:color w:val="auto"/>
          <w:highlight w:val="none"/>
        </w:rPr>
        <w:t>）存在弄虚作假及承诺不实情形的，投标保证金不予退还，报公共资源交易监督管理部门作出相应的处理。</w:t>
      </w:r>
    </w:p>
    <w:p>
      <w:pPr>
        <w:pStyle w:val="8"/>
        <w:numPr>
          <w:ilvl w:val="0"/>
          <w:numId w:val="0"/>
        </w:numPr>
        <w:tabs>
          <w:tab w:val="left" w:pos="851"/>
        </w:tabs>
        <w:spacing w:line="360" w:lineRule="auto"/>
        <w:ind w:left="197" w:leftChars="0"/>
        <w:rPr>
          <w:rFonts w:hint="eastAsia" w:ascii="宋体" w:hAnsi="宋体" w:eastAsia="宋体" w:cs="宋体"/>
          <w:color w:val="auto"/>
          <w:highlight w:val="none"/>
        </w:rPr>
      </w:pPr>
      <w:bookmarkStart w:id="70" w:name="4.商务标初步评审"/>
      <w:bookmarkEnd w:id="70"/>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技术标评审（满分70分）</w:t>
      </w:r>
    </w:p>
    <w:p>
      <w:pPr>
        <w:tabs>
          <w:tab w:val="left" w:pos="945"/>
        </w:tabs>
        <w:spacing w:line="360" w:lineRule="auto"/>
        <w:ind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由评标委员会对通过投标资格评审的投标人的技术标书进行综合性评审，技术标满分70分，具体评定分值依据以下原则（以下所有涉及计算的结果均按四舍五入原则保留两位小数）。</w:t>
      </w:r>
    </w:p>
    <w:tbl>
      <w:tblPr>
        <w:tblStyle w:val="24"/>
        <w:tblW w:w="48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
        <w:gridCol w:w="874"/>
        <w:gridCol w:w="595"/>
        <w:gridCol w:w="7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13"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488"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评审项</w:t>
            </w:r>
          </w:p>
        </w:tc>
        <w:tc>
          <w:tcPr>
            <w:tcW w:w="332"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w:t>
            </w:r>
          </w:p>
        </w:tc>
        <w:tc>
          <w:tcPr>
            <w:tcW w:w="3965"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213" w:type="pct"/>
            <w:tcBorders>
              <w:top w:val="single" w:color="auto" w:sz="4" w:space="0"/>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88" w:type="pct"/>
            <w:tcBorders>
              <w:top w:val="single" w:color="auto" w:sz="4" w:space="0"/>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制造</w:t>
            </w:r>
            <w:r>
              <w:rPr>
                <w:rFonts w:hint="eastAsia" w:ascii="宋体" w:hAnsi="宋体" w:eastAsia="宋体" w:cs="宋体"/>
                <w:color w:val="auto"/>
                <w:sz w:val="21"/>
                <w:szCs w:val="21"/>
                <w:highlight w:val="none"/>
                <w:lang w:val="en-US" w:eastAsia="zh-CN"/>
              </w:rPr>
              <w:t>商</w:t>
            </w:r>
            <w:r>
              <w:rPr>
                <w:rFonts w:hint="eastAsia" w:ascii="宋体" w:hAnsi="宋体" w:eastAsia="宋体" w:cs="宋体"/>
                <w:color w:val="auto"/>
                <w:sz w:val="21"/>
                <w:szCs w:val="21"/>
                <w:highlight w:val="none"/>
              </w:rPr>
              <w:t>经验</w:t>
            </w:r>
          </w:p>
        </w:tc>
        <w:tc>
          <w:tcPr>
            <w:tcW w:w="332"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3965"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①所投品牌电梯制造商生产年限≤15年的（含15年），得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p>
          <w:p>
            <w:pPr>
              <w:widowControl/>
              <w:snapToGrid w:val="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②所投品牌电梯制造商生产年限在15～20年的（</w:t>
            </w:r>
            <w:r>
              <w:rPr>
                <w:rFonts w:hint="eastAsia" w:ascii="宋体" w:hAnsi="宋体" w:eastAsia="宋体" w:cs="宋体"/>
                <w:color w:val="auto"/>
                <w:sz w:val="21"/>
                <w:szCs w:val="21"/>
                <w:highlight w:val="none"/>
                <w:lang w:val="en-US" w:eastAsia="zh-CN"/>
              </w:rPr>
              <w:t>不</w:t>
            </w:r>
            <w:r>
              <w:rPr>
                <w:rFonts w:hint="eastAsia" w:ascii="宋体" w:hAnsi="宋体" w:eastAsia="宋体" w:cs="宋体"/>
                <w:color w:val="auto"/>
                <w:sz w:val="21"/>
                <w:szCs w:val="21"/>
                <w:highlight w:val="none"/>
              </w:rPr>
              <w:t>含），得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pPr>
              <w:widowControl/>
              <w:snapToGrid w:val="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③所投品牌电梯制造商生产年限≥20年的（含20年），得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p>
            <w:pPr>
              <w:widowControl/>
              <w:snapToGrid w:val="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评审标准：生产年限以投标人提供的所投品牌电梯制造商的营业执照中的成立日期或初始注册的《中华人民共和国特种设备制造许可证》上的时间为准（按整年计算，例如15.6年的则按 15 年计）。企业信息如有变更，必须提供工商等权威部门出具的相关变更证明材料。</w:t>
            </w:r>
          </w:p>
          <w:p>
            <w:pPr>
              <w:widowControl/>
              <w:snapToGrid w:val="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注：相关证书扫描件（包含复印件和影印件）加盖投标单位</w:t>
            </w:r>
            <w:r>
              <w:rPr>
                <w:rFonts w:hint="eastAsia" w:ascii="宋体" w:hAnsi="宋体" w:eastAsia="宋体" w:cs="宋体"/>
                <w:color w:val="auto"/>
                <w:sz w:val="21"/>
                <w:szCs w:val="21"/>
                <w:highlight w:val="none"/>
                <w:lang w:val="en-US" w:eastAsia="zh-CN"/>
              </w:rPr>
              <w:t>公章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213"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488"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制造商的能力及信誉</w:t>
            </w:r>
          </w:p>
        </w:tc>
        <w:tc>
          <w:tcPr>
            <w:tcW w:w="332"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2</w:t>
            </w:r>
          </w:p>
        </w:tc>
        <w:tc>
          <w:tcPr>
            <w:tcW w:w="3965" w:type="pct"/>
            <w:tcBorders>
              <w:top w:val="single" w:color="auto" w:sz="4" w:space="0"/>
              <w:left w:val="single" w:color="auto" w:sz="4" w:space="0"/>
              <w:bottom w:val="single" w:color="auto" w:sz="4" w:space="0"/>
              <w:right w:val="single" w:color="auto" w:sz="4" w:space="0"/>
            </w:tcBorders>
            <w:noWrap w:val="0"/>
            <w:vAlign w:val="top"/>
          </w:tcPr>
          <w:p>
            <w:pPr>
              <w:widowControl/>
              <w:snapToGrid w:val="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rPr>
              <w:t>所投电梯制造商实验室具有权威检测性，获得官方CNAS认证满3年</w:t>
            </w:r>
            <w:r>
              <w:rPr>
                <w:rFonts w:hint="eastAsia" w:ascii="宋体" w:hAnsi="宋体" w:eastAsia="宋体" w:cs="宋体"/>
                <w:color w:val="auto"/>
                <w:sz w:val="21"/>
                <w:szCs w:val="21"/>
                <w:highlight w:val="none"/>
                <w:lang w:val="en-US" w:eastAsia="zh-CN"/>
              </w:rPr>
              <w:t>（含）</w:t>
            </w:r>
            <w:r>
              <w:rPr>
                <w:rFonts w:hint="eastAsia" w:ascii="宋体" w:hAnsi="宋体" w:eastAsia="宋体" w:cs="宋体"/>
                <w:color w:val="auto"/>
                <w:sz w:val="21"/>
                <w:szCs w:val="21"/>
                <w:highlight w:val="none"/>
                <w:lang w:val="en-US"/>
              </w:rPr>
              <w:t>的</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rPr>
              <w:t>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rPr>
              <w:t>分</w:t>
            </w:r>
            <w:r>
              <w:rPr>
                <w:rFonts w:hint="eastAsia" w:ascii="宋体" w:hAnsi="宋体" w:eastAsia="宋体" w:cs="宋体"/>
                <w:color w:val="auto"/>
                <w:sz w:val="21"/>
                <w:szCs w:val="21"/>
                <w:highlight w:val="none"/>
                <w:lang w:val="en-US" w:eastAsia="zh-CN"/>
              </w:rPr>
              <w:t>；其余不得分。</w:t>
            </w:r>
          </w:p>
          <w:p>
            <w:pPr>
              <w:widowControl/>
              <w:snapToGrid w:val="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rPr>
              <w:t>注：相关证书加盖投标单位</w:t>
            </w:r>
            <w:r>
              <w:rPr>
                <w:rFonts w:hint="eastAsia" w:ascii="宋体" w:hAnsi="宋体" w:eastAsia="宋体" w:cs="宋体"/>
                <w:color w:val="auto"/>
                <w:sz w:val="21"/>
                <w:szCs w:val="21"/>
                <w:highlight w:val="none"/>
                <w:lang w:val="en-US" w:eastAsia="zh-CN"/>
              </w:rPr>
              <w:t>公章</w:t>
            </w:r>
            <w:r>
              <w:rPr>
                <w:rFonts w:hint="eastAsia" w:ascii="宋体" w:hAnsi="宋体" w:eastAsia="宋体" w:cs="宋体"/>
                <w:color w:val="auto"/>
                <w:sz w:val="21"/>
                <w:szCs w:val="21"/>
                <w:highlight w:val="none"/>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213"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488"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管理体系认证证书</w:t>
            </w:r>
          </w:p>
        </w:tc>
        <w:tc>
          <w:tcPr>
            <w:tcW w:w="332"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965"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投标人或所投电梯品牌制造商，同时</w:t>
            </w:r>
            <w:r>
              <w:rPr>
                <w:rFonts w:hint="eastAsia" w:ascii="宋体" w:hAnsi="宋体" w:eastAsia="宋体" w:cs="宋体"/>
                <w:color w:val="auto"/>
                <w:sz w:val="21"/>
                <w:szCs w:val="21"/>
                <w:highlight w:val="none"/>
              </w:rPr>
              <w:t>具有经中国国家认证认可监督管理委员会认可的认证机构颁发的</w:t>
            </w:r>
            <w:r>
              <w:rPr>
                <w:rFonts w:hint="eastAsia" w:ascii="宋体" w:hAnsi="宋体" w:eastAsia="宋体" w:cs="宋体"/>
                <w:color w:val="auto"/>
                <w:sz w:val="21"/>
                <w:szCs w:val="21"/>
                <w:highlight w:val="none"/>
                <w:lang w:val="en-US" w:eastAsia="zh-CN"/>
              </w:rPr>
              <w:t>质量管理体系认证证书、环境管理体系认证证书、职业安全健康管理体系认证证书得3分，否则不得分，满分3分。</w:t>
            </w:r>
          </w:p>
          <w:p>
            <w:pPr>
              <w:widowControl/>
              <w:snapToGrid w:val="0"/>
              <w:jc w:val="both"/>
              <w:rPr>
                <w:rFonts w:hint="eastAsia"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lang w:val="en-US"/>
              </w:rPr>
              <w:t>注：</w:t>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val="en-US"/>
              </w:rPr>
              <w:t>超出认定有效期的或无上一年度复评结果的均视为无效体系认证，该项认证不得分。</w:t>
            </w:r>
          </w:p>
          <w:p>
            <w:pPr>
              <w:widowControl/>
              <w:snapToGrid w:val="0"/>
              <w:jc w:val="both"/>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val="en-US"/>
              </w:rPr>
              <w:t>投标文件中提供的有效证书加盖投标单位</w:t>
            </w:r>
            <w:r>
              <w:rPr>
                <w:rFonts w:hint="eastAsia" w:ascii="宋体" w:hAnsi="宋体" w:eastAsia="宋体" w:cs="宋体"/>
                <w:b/>
                <w:bCs/>
                <w:color w:val="auto"/>
                <w:sz w:val="21"/>
                <w:szCs w:val="21"/>
                <w:highlight w:val="none"/>
                <w:lang w:val="en-US" w:eastAsia="zh-CN"/>
              </w:rPr>
              <w:t>公</w:t>
            </w:r>
            <w:r>
              <w:rPr>
                <w:rFonts w:hint="eastAsia" w:ascii="宋体" w:hAnsi="宋体" w:eastAsia="宋体" w:cs="宋体"/>
                <w:b/>
                <w:bCs/>
                <w:color w:val="auto"/>
                <w:sz w:val="21"/>
                <w:szCs w:val="21"/>
                <w:highlight w:val="none"/>
                <w:lang w:val="en-US"/>
              </w:rPr>
              <w:t>章及全国认证认可信息公共服务平台官网证书信息查询截图为评审依据</w:t>
            </w:r>
            <w:r>
              <w:rPr>
                <w:rFonts w:hint="eastAsia" w:ascii="宋体" w:hAnsi="宋体" w:eastAsia="宋体" w:cs="宋体"/>
                <w:b/>
                <w:bCs/>
                <w:color w:val="auto"/>
                <w:sz w:val="21"/>
                <w:szCs w:val="21"/>
                <w:highlight w:val="none"/>
                <w:lang w:val="en-US" w:eastAsia="zh-CN"/>
              </w:rPr>
              <w:t>，否则不得分</w:t>
            </w:r>
            <w:r>
              <w:rPr>
                <w:rFonts w:hint="eastAsia" w:ascii="宋体" w:hAnsi="宋体" w:eastAsia="宋体" w:cs="宋体"/>
                <w:b/>
                <w:bCs/>
                <w:color w:val="auto"/>
                <w:sz w:val="21"/>
                <w:szCs w:val="21"/>
                <w:highlight w:val="none"/>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213" w:type="pct"/>
            <w:vMerge w:val="restart"/>
            <w:tcBorders>
              <w:top w:val="single" w:color="auto" w:sz="4" w:space="0"/>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488" w:type="pct"/>
            <w:vMerge w:val="restart"/>
            <w:tcBorders>
              <w:top w:val="single" w:color="auto" w:sz="4" w:space="0"/>
              <w:left w:val="single" w:color="auto" w:sz="4" w:space="0"/>
              <w:right w:val="single" w:color="auto" w:sz="4" w:space="0"/>
            </w:tcBorders>
            <w:noWrap w:val="0"/>
            <w:vAlign w:val="center"/>
          </w:tcPr>
          <w:p>
            <w:pPr>
              <w:widowControl/>
              <w:snapToGrid w:val="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投标产品质量</w:t>
            </w:r>
          </w:p>
        </w:tc>
        <w:tc>
          <w:tcPr>
            <w:tcW w:w="332"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3965" w:type="pc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jc w:val="left"/>
              <w:rPr>
                <w:rFonts w:hint="eastAsia"/>
                <w:highlight w:val="none"/>
                <w:lang w:val="en-US" w:eastAsia="zh-CN"/>
              </w:rPr>
            </w:pPr>
            <w:r>
              <w:rPr>
                <w:rFonts w:hint="eastAsia"/>
                <w:highlight w:val="none"/>
                <w:lang w:val="en-US" w:eastAsia="zh-CN"/>
              </w:rPr>
              <w:t>1、曳引机：</w:t>
            </w:r>
          </w:p>
          <w:p>
            <w:pPr>
              <w:widowControl/>
              <w:numPr>
                <w:ilvl w:val="0"/>
                <w:numId w:val="0"/>
              </w:numPr>
              <w:jc w:val="left"/>
              <w:rPr>
                <w:rFonts w:hint="eastAsia"/>
                <w:highlight w:val="none"/>
                <w:lang w:val="en-US" w:eastAsia="zh-CN"/>
              </w:rPr>
            </w:pPr>
            <w:r>
              <w:rPr>
                <w:rFonts w:hint="eastAsia"/>
                <w:highlight w:val="none"/>
                <w:lang w:val="en-US" w:eastAsia="zh-CN"/>
              </w:rPr>
              <w:t>（1）曳引机需为原厂原品牌且采用原产地原装欧美日进口（其中HT-1货梯1曳引机为原厂原品牌）的得6分，投标文件中提供近三年同品牌产品的进口部件报关单，同时提供曳引机型式试验合格证及报告，全部加盖投标人公章，否则不得分；</w:t>
            </w:r>
          </w:p>
          <w:p>
            <w:pPr>
              <w:widowControl/>
              <w:numPr>
                <w:ilvl w:val="0"/>
                <w:numId w:val="0"/>
              </w:numPr>
              <w:jc w:val="left"/>
              <w:rPr>
                <w:rFonts w:hint="eastAsia"/>
                <w:highlight w:val="none"/>
                <w:lang w:val="en-US" w:eastAsia="zh-CN"/>
              </w:rPr>
            </w:pPr>
            <w:r>
              <w:rPr>
                <w:rFonts w:hint="eastAsia"/>
                <w:highlight w:val="none"/>
                <w:lang w:val="en-US" w:eastAsia="zh-CN"/>
              </w:rPr>
              <w:t xml:space="preserve">（2）曳引机系统为原厂原品牌主要部件得3分（含HT-1货梯1）；（须提供曳引机装置型式试验报告，加盖投标人公章，否则不得分）； </w:t>
            </w:r>
          </w:p>
          <w:p>
            <w:pPr>
              <w:widowControl/>
              <w:numPr>
                <w:ilvl w:val="0"/>
                <w:numId w:val="0"/>
              </w:numPr>
              <w:jc w:val="left"/>
              <w:rPr>
                <w:rFonts w:hint="eastAsia"/>
                <w:highlight w:val="none"/>
                <w:lang w:val="en-US" w:eastAsia="zh-CN"/>
              </w:rPr>
            </w:pPr>
            <w:r>
              <w:rPr>
                <w:rFonts w:hint="eastAsia"/>
                <w:highlight w:val="none"/>
                <w:lang w:val="en-US" w:eastAsia="zh-CN"/>
              </w:rPr>
              <w:t>(3)其余不得分。</w:t>
            </w:r>
          </w:p>
          <w:p>
            <w:pPr>
              <w:keepNext w:val="0"/>
              <w:keepLines w:val="0"/>
              <w:widowControl/>
              <w:suppressLineNumbers w:val="0"/>
              <w:jc w:val="left"/>
              <w:rPr>
                <w:rFonts w:hint="eastAsia"/>
                <w:highlight w:val="none"/>
                <w:lang w:val="en-US" w:eastAsia="zh-CN"/>
              </w:rPr>
            </w:pPr>
            <w:r>
              <w:rPr>
                <w:rFonts w:hint="eastAsia"/>
                <w:highlight w:val="none"/>
                <w:lang w:val="en-US" w:eastAsia="zh-CN"/>
              </w:rPr>
              <w:t>备注：</w:t>
            </w:r>
          </w:p>
          <w:p>
            <w:pPr>
              <w:keepNext w:val="0"/>
              <w:keepLines w:val="0"/>
              <w:widowControl/>
              <w:suppressLineNumbers w:val="0"/>
              <w:jc w:val="left"/>
              <w:rPr>
                <w:rFonts w:hint="eastAsia"/>
                <w:highlight w:val="none"/>
                <w:lang w:val="en-US" w:eastAsia="zh-CN"/>
              </w:rPr>
            </w:pPr>
            <w:r>
              <w:rPr>
                <w:rFonts w:hint="eastAsia"/>
                <w:highlight w:val="none"/>
                <w:lang w:val="en-US" w:eastAsia="zh-CN"/>
              </w:rPr>
              <w:t xml:space="preserve">1、以上评分项同时提供所投电梯（与所投型号一致）整梯型式试验报告加盖投标人公章，否则不得分； </w:t>
            </w:r>
          </w:p>
          <w:p>
            <w:pPr>
              <w:pStyle w:val="2"/>
              <w:rPr>
                <w:rFonts w:hint="default"/>
                <w:highlight w:val="none"/>
                <w:lang w:val="en-US" w:eastAsia="zh-CN"/>
              </w:rPr>
            </w:pPr>
            <w:r>
              <w:rPr>
                <w:rFonts w:hint="eastAsia" w:cs="宋体"/>
                <w:color w:val="auto"/>
                <w:kern w:val="0"/>
                <w:sz w:val="21"/>
                <w:szCs w:val="21"/>
                <w:highlight w:val="none"/>
                <w:lang w:val="en-US" w:eastAsia="zh-CN" w:bidi="ar"/>
              </w:rPr>
              <w:t xml:space="preserve"> 2、</w:t>
            </w:r>
            <w:r>
              <w:rPr>
                <w:rFonts w:hint="eastAsia" w:ascii="宋体" w:hAnsi="宋体" w:eastAsia="宋体" w:cs="宋体"/>
                <w:i w:val="0"/>
                <w:iCs w:val="0"/>
                <w:color w:val="auto"/>
                <w:kern w:val="0"/>
                <w:sz w:val="20"/>
                <w:szCs w:val="20"/>
                <w:highlight w:val="none"/>
                <w:u w:val="none"/>
                <w:lang w:val="en-US" w:eastAsia="zh-CN" w:bidi="ar"/>
              </w:rPr>
              <w:t>HT-2货梯2</w:t>
            </w:r>
            <w:r>
              <w:rPr>
                <w:rFonts w:hint="eastAsia" w:cs="宋体"/>
                <w:i w:val="0"/>
                <w:iCs w:val="0"/>
                <w:color w:val="auto"/>
                <w:kern w:val="0"/>
                <w:sz w:val="20"/>
                <w:szCs w:val="20"/>
                <w:highlight w:val="none"/>
                <w:u w:val="none"/>
                <w:lang w:val="en-US" w:eastAsia="zh-CN" w:bidi="ar"/>
              </w:rPr>
              <w:t>曳引机不参与评分。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13" w:type="pct"/>
            <w:vMerge w:val="continue"/>
            <w:tcBorders>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rPr>
            </w:pPr>
          </w:p>
        </w:tc>
        <w:tc>
          <w:tcPr>
            <w:tcW w:w="488" w:type="pct"/>
            <w:vMerge w:val="continue"/>
            <w:tcBorders>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p>
        </w:tc>
        <w:tc>
          <w:tcPr>
            <w:tcW w:w="332" w:type="pct"/>
            <w:tcBorders>
              <w:top w:val="single" w:color="auto" w:sz="4" w:space="0"/>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3965" w:type="pc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ind w:left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2、门机：</w:t>
            </w:r>
          </w:p>
          <w:p>
            <w:pPr>
              <w:widowControl/>
              <w:numPr>
                <w:ilvl w:val="0"/>
                <w:numId w:val="0"/>
              </w:numPr>
              <w:ind w:left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（1）门机采用原厂原品牌原产地原装欧美日进口（</w:t>
            </w:r>
            <w:r>
              <w:rPr>
                <w:rFonts w:hint="eastAsia" w:cs="宋体"/>
                <w:color w:val="auto"/>
                <w:sz w:val="21"/>
                <w:szCs w:val="21"/>
                <w:highlight w:val="none"/>
                <w:lang w:val="en-US" w:eastAsia="zh-CN"/>
              </w:rPr>
              <w:t>其中</w:t>
            </w:r>
            <w:r>
              <w:rPr>
                <w:rFonts w:hint="eastAsia" w:ascii="宋体" w:hAnsi="宋体" w:eastAsia="宋体" w:cs="宋体"/>
                <w:color w:val="auto"/>
                <w:sz w:val="21"/>
                <w:szCs w:val="21"/>
                <w:highlight w:val="none"/>
                <w:lang w:val="en-US" w:eastAsia="zh-CN"/>
              </w:rPr>
              <w:t>HT-1货梯1</w:t>
            </w:r>
            <w:r>
              <w:rPr>
                <w:rFonts w:hint="eastAsia" w:cs="宋体"/>
                <w:color w:val="auto"/>
                <w:sz w:val="21"/>
                <w:szCs w:val="21"/>
                <w:highlight w:val="none"/>
                <w:lang w:val="en-US" w:eastAsia="zh-CN"/>
              </w:rPr>
              <w:t>门</w:t>
            </w:r>
            <w:r>
              <w:rPr>
                <w:rFonts w:hint="eastAsia" w:ascii="宋体" w:hAnsi="宋体" w:eastAsia="宋体" w:cs="宋体"/>
                <w:color w:val="auto"/>
                <w:sz w:val="21"/>
                <w:szCs w:val="21"/>
                <w:highlight w:val="none"/>
                <w:lang w:val="en-US" w:eastAsia="zh-CN"/>
              </w:rPr>
              <w:t>机为原厂原品牌）的得6分</w:t>
            </w:r>
            <w:r>
              <w:rPr>
                <w:rFonts w:hint="eastAsia"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投标文件中提供近三年同品牌产品的进口部件报关单，同时提供门机试验报告，全部加盖投标人公章，否则不得分；</w:t>
            </w:r>
          </w:p>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（2）门机系统采用原厂原品牌的得3分</w:t>
            </w:r>
            <w:r>
              <w:rPr>
                <w:rFonts w:hint="eastAsia"/>
                <w:highlight w:val="none"/>
                <w:lang w:val="en-US" w:eastAsia="zh-CN"/>
              </w:rPr>
              <w:t>（含HT-1货梯1）</w:t>
            </w:r>
            <w:r>
              <w:rPr>
                <w:rFonts w:hint="eastAsia" w:ascii="宋体" w:hAnsi="宋体" w:eastAsia="宋体" w:cs="宋体"/>
                <w:color w:val="auto"/>
                <w:sz w:val="21"/>
                <w:szCs w:val="21"/>
                <w:highlight w:val="none"/>
                <w:lang w:val="en-US" w:eastAsia="zh-CN"/>
              </w:rPr>
              <w:t xml:space="preserve">；（须提供门机试验报告加盖投标人公章，否则不得分）； </w:t>
            </w:r>
          </w:p>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(3)其余不得分。</w:t>
            </w:r>
          </w:p>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以上评分项同时提供所投电梯（与所投型号一致）整梯型式试验报告加盖投标人公章，否则不得分；</w:t>
            </w:r>
          </w:p>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HT-2货梯2</w:t>
            </w:r>
            <w:r>
              <w:rPr>
                <w:rFonts w:hint="eastAsia" w:cs="宋体"/>
                <w:i w:val="0"/>
                <w:iCs w:val="0"/>
                <w:color w:val="auto"/>
                <w:kern w:val="0"/>
                <w:sz w:val="20"/>
                <w:szCs w:val="20"/>
                <w:highlight w:val="none"/>
                <w:u w:val="none"/>
                <w:lang w:val="en-US" w:eastAsia="zh-CN" w:bidi="ar"/>
              </w:rPr>
              <w:t>门机不参与评分。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13" w:type="pct"/>
            <w:vMerge w:val="continue"/>
            <w:tcBorders>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rPr>
            </w:pPr>
          </w:p>
        </w:tc>
        <w:tc>
          <w:tcPr>
            <w:tcW w:w="488" w:type="pct"/>
            <w:vMerge w:val="continue"/>
            <w:tcBorders>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p>
        </w:tc>
        <w:tc>
          <w:tcPr>
            <w:tcW w:w="332" w:type="pct"/>
            <w:tcBorders>
              <w:top w:val="single" w:color="auto" w:sz="4" w:space="0"/>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3965" w:type="pc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4"/>
              </w:num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控制系统：</w:t>
            </w:r>
          </w:p>
          <w:p>
            <w:pPr>
              <w:widowControl/>
              <w:numPr>
                <w:ilvl w:val="0"/>
                <w:numId w:val="0"/>
              </w:num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（1）控制系统（即控制柜整柜）采用原厂原品牌原产地原装欧美日进口（</w:t>
            </w:r>
            <w:r>
              <w:rPr>
                <w:rFonts w:hint="eastAsia" w:cs="宋体"/>
                <w:color w:val="auto"/>
                <w:sz w:val="21"/>
                <w:szCs w:val="21"/>
                <w:highlight w:val="none"/>
                <w:lang w:val="en-US" w:eastAsia="zh-CN"/>
              </w:rPr>
              <w:t>其中</w:t>
            </w:r>
            <w:r>
              <w:rPr>
                <w:rFonts w:hint="eastAsia" w:ascii="宋体" w:hAnsi="宋体" w:eastAsia="宋体" w:cs="宋体"/>
                <w:color w:val="auto"/>
                <w:sz w:val="21"/>
                <w:szCs w:val="21"/>
                <w:highlight w:val="none"/>
                <w:lang w:val="en-US" w:eastAsia="zh-CN"/>
              </w:rPr>
              <w:t>HT-1货梯1</w:t>
            </w:r>
            <w:r>
              <w:rPr>
                <w:rFonts w:hint="eastAsia" w:cs="宋体"/>
                <w:color w:val="auto"/>
                <w:sz w:val="21"/>
                <w:szCs w:val="21"/>
                <w:highlight w:val="none"/>
                <w:lang w:val="en-US" w:eastAsia="zh-CN"/>
              </w:rPr>
              <w:t>门</w:t>
            </w:r>
            <w:r>
              <w:rPr>
                <w:rFonts w:hint="eastAsia" w:ascii="宋体" w:hAnsi="宋体" w:eastAsia="宋体" w:cs="宋体"/>
                <w:color w:val="auto"/>
                <w:sz w:val="21"/>
                <w:szCs w:val="21"/>
                <w:highlight w:val="none"/>
                <w:lang w:val="en-US" w:eastAsia="zh-CN"/>
              </w:rPr>
              <w:t>机为原厂原品牌）的得6分，投标文件中提供近三年同品牌产品的进口部件报关单，同时提供进口控制系统（即控制柜整柜）的型式试验合格证及报告，全部加盖投标人公章；</w:t>
            </w:r>
          </w:p>
          <w:p>
            <w:pPr>
              <w:widowControl/>
              <w:numPr>
                <w:ilvl w:val="0"/>
                <w:numId w:val="0"/>
              </w:num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(2)控制系统采用原厂原品牌得3分；（须提供控制系统型式试验报告加盖投标人公章，否则不得分）；</w:t>
            </w:r>
          </w:p>
          <w:p>
            <w:pPr>
              <w:widowControl/>
              <w:numPr>
                <w:ilvl w:val="0"/>
                <w:numId w:val="0"/>
              </w:num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(3)其余不得分。</w:t>
            </w:r>
          </w:p>
          <w:p>
            <w:pPr>
              <w:widowControl/>
              <w:numPr>
                <w:ilvl w:val="0"/>
                <w:numId w:val="0"/>
              </w:numPr>
              <w:jc w:val="both"/>
              <w:rPr>
                <w:rFonts w:hint="eastAsia"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r>
              <w:rPr>
                <w:rFonts w:hint="eastAsia" w:cs="宋体"/>
                <w:color w:val="auto"/>
                <w:sz w:val="21"/>
                <w:szCs w:val="21"/>
                <w:highlight w:val="none"/>
                <w:lang w:val="en-US" w:eastAsia="zh-CN"/>
              </w:rPr>
              <w:t>：</w:t>
            </w:r>
          </w:p>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以上评分项同时提供所投电梯（与所投型号一致）整梯型式试验报告加盖投标人公章，否则不得分；</w:t>
            </w:r>
          </w:p>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cs="宋体"/>
                <w:color w:val="auto"/>
                <w:kern w:val="0"/>
                <w:sz w:val="21"/>
                <w:szCs w:val="21"/>
                <w:highlight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HT-2货梯2</w:t>
            </w:r>
            <w:r>
              <w:rPr>
                <w:rFonts w:hint="eastAsia" w:cs="宋体"/>
                <w:i w:val="0"/>
                <w:iCs w:val="0"/>
                <w:color w:val="auto"/>
                <w:kern w:val="0"/>
                <w:sz w:val="20"/>
                <w:szCs w:val="20"/>
                <w:highlight w:val="none"/>
                <w:u w:val="none"/>
                <w:lang w:val="en-US" w:eastAsia="zh-CN" w:bidi="ar"/>
              </w:rPr>
              <w:t>控制系统不参与评分。</w:t>
            </w:r>
            <w:r>
              <w:rPr>
                <w:rFonts w:hint="eastAsia" w:ascii="宋体" w:hAnsi="宋体" w:eastAsia="宋体" w:cs="宋体"/>
                <w:color w:val="auto"/>
                <w:sz w:val="21"/>
                <w:szCs w:val="21"/>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13" w:type="pct"/>
            <w:vMerge w:val="continue"/>
            <w:tcBorders>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rPr>
            </w:pPr>
          </w:p>
        </w:tc>
        <w:tc>
          <w:tcPr>
            <w:tcW w:w="488" w:type="pct"/>
            <w:vMerge w:val="continue"/>
            <w:tcBorders>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p>
        </w:tc>
        <w:tc>
          <w:tcPr>
            <w:tcW w:w="332" w:type="pct"/>
            <w:tcBorders>
              <w:top w:val="single" w:color="auto" w:sz="4" w:space="0"/>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965" w:type="pc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4、光幕：</w:t>
            </w:r>
          </w:p>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(1)门光幕保护采用欧美日国际著名品牌整件进口（HT-1货梯1除外）的得3分</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lang w:val="en-US" w:eastAsia="zh-CN"/>
              </w:rPr>
              <w:t>投标文件中提供近三年以来进口部件报关单，并加盖投标人公章，否则不得分</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lang w:val="en-US" w:eastAsia="zh-CN"/>
              </w:rPr>
              <w:t>；</w:t>
            </w:r>
          </w:p>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（2）门光幕保护采用原厂原品牌的得1分；</w:t>
            </w:r>
          </w:p>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（3）其余不得分。</w:t>
            </w:r>
          </w:p>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以上评分项同时提供所投电梯（与所投型号一致）整梯型式试验报告加盖投标人公章，否则不得分；</w:t>
            </w:r>
          </w:p>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cs="宋体"/>
                <w:color w:val="auto"/>
                <w:kern w:val="0"/>
                <w:sz w:val="21"/>
                <w:szCs w:val="21"/>
                <w:highlight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HT-2货梯2</w:t>
            </w:r>
            <w:r>
              <w:rPr>
                <w:rFonts w:hint="eastAsia" w:cs="宋体"/>
                <w:i w:val="0"/>
                <w:iCs w:val="0"/>
                <w:color w:val="auto"/>
                <w:kern w:val="0"/>
                <w:sz w:val="20"/>
                <w:szCs w:val="20"/>
                <w:highlight w:val="none"/>
                <w:u w:val="none"/>
                <w:lang w:val="en-US" w:eastAsia="zh-CN" w:bidi="ar"/>
              </w:rPr>
              <w:t>光幕不参与评分。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213" w:type="pct"/>
            <w:vMerge w:val="continue"/>
            <w:tcBorders>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rPr>
            </w:pPr>
          </w:p>
        </w:tc>
        <w:tc>
          <w:tcPr>
            <w:tcW w:w="488" w:type="pct"/>
            <w:vMerge w:val="continue"/>
            <w:tcBorders>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p>
        </w:tc>
        <w:tc>
          <w:tcPr>
            <w:tcW w:w="332" w:type="pct"/>
            <w:tcBorders>
              <w:top w:val="single" w:color="auto" w:sz="4" w:space="0"/>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3965" w:type="pc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综合评价：</w:t>
            </w:r>
          </w:p>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主要指所投电梯品牌知名度、性能、节能性、技术先进性（包括但不限于：整梯系统、称重装置、安全装置、电子技术、功能配置等）进行综合评分。优者得 7.0～6.1分，良者得 6.0～3.1分，一般者得3.0～2.0分。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213"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488"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施工安装方案</w:t>
            </w:r>
          </w:p>
          <w:p>
            <w:pPr>
              <w:widowControl/>
              <w:snapToGrid w:val="0"/>
              <w:jc w:val="center"/>
              <w:rPr>
                <w:rFonts w:hint="eastAsia" w:ascii="宋体" w:hAnsi="宋体" w:eastAsia="宋体" w:cs="宋体"/>
                <w:color w:val="auto"/>
                <w:sz w:val="21"/>
                <w:szCs w:val="21"/>
                <w:highlight w:val="none"/>
                <w:lang w:val="en-US" w:eastAsia="zh-CN"/>
              </w:rPr>
            </w:pPr>
          </w:p>
        </w:tc>
        <w:tc>
          <w:tcPr>
            <w:tcW w:w="332"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3965" w:type="pc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投标人自行踏勘现场、并结合工程设计施工图纸、招标文件及招标工程量清单内容自行编制本工程安装施工方案。</w:t>
            </w:r>
          </w:p>
          <w:p>
            <w:pPr>
              <w:widowControl/>
              <w:numPr>
                <w:ilvl w:val="0"/>
                <w:numId w:val="0"/>
              </w:numPr>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方案设计合理；人员配备及安排合理；建设进度计划及保证措施合理；安装调 试程序合理、措施得当；质量保证措施合理，安全文明施工措施合理，紧急预案措 施得当、完善，优者计5.0～3.1分，良者计3.0～1.1分，一般者计1</w:t>
            </w:r>
            <w:r>
              <w:rPr>
                <w:rFonts w:hint="eastAsia" w:ascii="宋体" w:hAnsi="宋体" w:eastAsia="宋体" w:cs="宋体"/>
                <w:color w:val="auto"/>
                <w:sz w:val="21"/>
                <w:szCs w:val="21"/>
                <w:highlight w:val="none"/>
                <w:lang w:val="en-US" w:eastAsia="zh-CN"/>
              </w:rPr>
              <w:t>.0</w:t>
            </w:r>
            <w:r>
              <w:rPr>
                <w:rFonts w:hint="eastAsia" w:ascii="宋体" w:hAnsi="宋体" w:eastAsia="宋体" w:cs="宋体"/>
                <w:highlight w:val="none"/>
                <w:lang w:val="en-US" w:eastAsia="zh-CN"/>
              </w:rPr>
              <w:t>～0分。</w:t>
            </w:r>
          </w:p>
          <w:p>
            <w:pPr>
              <w:pStyle w:val="2"/>
              <w:rPr>
                <w:rFonts w:hint="eastAsia" w:ascii="宋体" w:hAnsi="宋体" w:eastAsia="宋体" w:cs="宋体"/>
                <w:highlight w:val="none"/>
                <w:lang w:val="en-US" w:eastAsia="zh-CN"/>
              </w:rPr>
            </w:pPr>
            <w:r>
              <w:rPr>
                <w:rFonts w:hint="eastAsia" w:ascii="宋体" w:hAnsi="宋体" w:eastAsia="宋体" w:cs="宋体"/>
                <w:b/>
                <w:bCs/>
                <w:color w:val="auto"/>
                <w:sz w:val="21"/>
                <w:szCs w:val="21"/>
                <w:highlight w:val="none"/>
                <w:lang w:val="en-US" w:eastAsia="zh-CN" w:bidi="zh-CN"/>
              </w:rPr>
              <w:t>注：投标人及所投品牌制造商在安徽省内所有直属机构近三年因发生人员死亡的安全生产事故并被主管部门处罚的本项不得分，以投标人及所投品牌制造商直属机构承诺函为准。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13"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488"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所投产品业绩</w:t>
            </w:r>
          </w:p>
          <w:p>
            <w:pPr>
              <w:widowControl/>
              <w:snapToGrid w:val="0"/>
              <w:jc w:val="center"/>
              <w:rPr>
                <w:rFonts w:hint="eastAsia" w:ascii="宋体" w:hAnsi="宋体" w:eastAsia="宋体" w:cs="宋体"/>
                <w:color w:val="auto"/>
                <w:sz w:val="21"/>
                <w:szCs w:val="21"/>
                <w:highlight w:val="none"/>
                <w:lang w:val="en-US" w:eastAsia="zh-CN"/>
              </w:rPr>
            </w:pPr>
          </w:p>
        </w:tc>
        <w:tc>
          <w:tcPr>
            <w:tcW w:w="332"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3965" w:type="pc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1、自2019年1月1日（含）以来（以合同签订时间为准，无合同签订时间评委会不予计分），所投产品电梯</w:t>
            </w:r>
            <w:r>
              <w:rPr>
                <w:rFonts w:hint="eastAsia" w:ascii="宋体" w:hAnsi="宋体" w:eastAsia="宋体" w:cs="宋体"/>
                <w:color w:val="auto"/>
                <w:sz w:val="21"/>
                <w:szCs w:val="21"/>
                <w:highlight w:val="none"/>
              </w:rPr>
              <w:t>单项合同额≥</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00万元的电梯采购</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须含医用电梯</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并包含安装业绩的</w:t>
            </w:r>
            <w:r>
              <w:rPr>
                <w:rFonts w:hint="eastAsia" w:ascii="宋体" w:hAnsi="宋体" w:eastAsia="宋体" w:cs="宋体"/>
                <w:color w:val="auto"/>
                <w:sz w:val="21"/>
                <w:szCs w:val="21"/>
                <w:highlight w:val="none"/>
                <w:lang w:val="en-US" w:eastAsia="zh-CN"/>
              </w:rPr>
              <w:t>。每提供1个符合要求的业绩，得2分。本项满分8分。</w:t>
            </w:r>
          </w:p>
          <w:p>
            <w:pPr>
              <w:widowControl/>
              <w:numPr>
                <w:ilvl w:val="0"/>
                <w:numId w:val="0"/>
              </w:num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自2019年1月1日（含）以来（以合同签订时间为准，无合同签订时间评委会不予计分），所投产品电梯单项合同中包含的货梯停站层数在15层及以上或提升高度达到50米及以上的业绩均可，每提供一个的1分，本项满分4分。</w:t>
            </w:r>
          </w:p>
          <w:p>
            <w:pPr>
              <w:widowControl/>
              <w:numPr>
                <w:ilvl w:val="0"/>
                <w:numId w:val="0"/>
              </w:numPr>
              <w:jc w:val="left"/>
              <w:rPr>
                <w:rFonts w:hint="eastAsia" w:cs="宋体"/>
                <w:color w:val="auto"/>
                <w:sz w:val="21"/>
                <w:szCs w:val="21"/>
                <w:highlight w:val="none"/>
                <w:lang w:val="en-US" w:eastAsia="zh-CN"/>
              </w:rPr>
            </w:pPr>
            <w:r>
              <w:rPr>
                <w:rFonts w:hint="eastAsia" w:cs="宋体"/>
                <w:color w:val="auto"/>
                <w:sz w:val="21"/>
                <w:szCs w:val="21"/>
                <w:highlight w:val="none"/>
                <w:lang w:val="en-US" w:eastAsia="zh-CN"/>
              </w:rPr>
              <w:t>备注：</w:t>
            </w:r>
          </w:p>
          <w:p>
            <w:pPr>
              <w:widowControl/>
              <w:numPr>
                <w:ilvl w:val="0"/>
                <w:numId w:val="0"/>
              </w:num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（1）投标文件中须同时提供合同复印件或影印件和电梯通过安装地质监（或市场监管）部门安全检验合格证明的复印件或影印件或扫描件，须加盖投标人公章）符合以上要求，否则评委会不予计分。</w:t>
            </w:r>
          </w:p>
          <w:p>
            <w:pPr>
              <w:widowControl/>
              <w:numPr>
                <w:ilvl w:val="0"/>
                <w:numId w:val="0"/>
              </w:num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合同内容必须能清楚地反映合同首页、品牌、合同标的和盖章页等内容，若合同中未清楚地反映，投标文件中须提供合同甲方出具的相关证明材料扫描件。相关证明材料须含合同甲方公章及合同甲方经办人姓名、联系电话，公章名称与合同甲方名称一致，且符合以上要求，否则评委会不予计分。相关证明材料格式自拟。</w:t>
            </w:r>
          </w:p>
          <w:p>
            <w:pPr>
              <w:widowControl/>
              <w:numPr>
                <w:ilvl w:val="0"/>
                <w:numId w:val="0"/>
              </w:num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（3）同时满足1、2要求可以重复计分。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13" w:type="pct"/>
            <w:vMerge w:val="restart"/>
            <w:tcBorders>
              <w:top w:val="single" w:color="auto" w:sz="4" w:space="0"/>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488" w:type="pct"/>
            <w:vMerge w:val="restart"/>
            <w:tcBorders>
              <w:top w:val="single" w:color="auto" w:sz="4" w:space="0"/>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售后服务质量与质保</w:t>
            </w:r>
          </w:p>
        </w:tc>
        <w:tc>
          <w:tcPr>
            <w:tcW w:w="332" w:type="pct"/>
            <w:tcBorders>
              <w:top w:val="single" w:color="auto" w:sz="4" w:space="0"/>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4.5</w:t>
            </w:r>
          </w:p>
        </w:tc>
        <w:tc>
          <w:tcPr>
            <w:tcW w:w="3965" w:type="pc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售后服务方案应包含但不限于以下内容：①.免费技术培训及技术支持的实用性；②.应急维修或维护响应时间安排；③.售后服务机构（网点）地点、联系电话、人员配备及技术力量；④.备品备件支持计划（费用及优惠）；⑤.维修或维护服务收费标准；⑥.电梯巡检计划及措施的合理性；⑦.质保期后的技术支持计划和服务承诺，包括收费维修维护内容、费用（优惠） 及服务方式、范围（产品、技术、模块和部件等）等。</w:t>
            </w:r>
          </w:p>
          <w:p>
            <w:pPr>
              <w:widowControl/>
              <w:numPr>
                <w:ilvl w:val="0"/>
                <w:numId w:val="0"/>
              </w:num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根据投标人的售后服务方案内容是否有缺少、响应是否充分详细、方案内容是否科学有效具有针对性等方面，优者计 4.5～3.6分，良者计3.5～2.1分，一般者计2.0～0分。</w:t>
            </w:r>
          </w:p>
          <w:p>
            <w:pPr>
              <w:widowControl/>
              <w:numPr>
                <w:ilvl w:val="0"/>
                <w:numId w:val="0"/>
              </w:numPr>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备注：售后服务必须是生产厂商原厂维保，并按枞阳县市场管理局等有关部门要求在枞阳县设立维保服务站点或提供生产厂商</w:t>
            </w:r>
            <w:r>
              <w:rPr>
                <w:rFonts w:hint="eastAsia" w:cs="宋体"/>
                <w:b/>
                <w:bCs/>
                <w:color w:val="auto"/>
                <w:sz w:val="21"/>
                <w:szCs w:val="21"/>
                <w:highlight w:val="none"/>
                <w:lang w:val="en-US" w:eastAsia="zh-CN"/>
              </w:rPr>
              <w:t>承诺在</w:t>
            </w:r>
            <w:r>
              <w:rPr>
                <w:rFonts w:hint="eastAsia" w:ascii="宋体" w:hAnsi="宋体" w:eastAsia="宋体" w:cs="宋体"/>
                <w:b/>
                <w:bCs/>
                <w:color w:val="auto"/>
                <w:sz w:val="21"/>
                <w:szCs w:val="21"/>
                <w:highlight w:val="none"/>
                <w:lang w:val="en-US" w:eastAsia="zh-CN"/>
              </w:rPr>
              <w:t>枞阳县设立维保服务站点</w:t>
            </w:r>
            <w:r>
              <w:rPr>
                <w:rFonts w:hint="eastAsia" w:cs="宋体"/>
                <w:b/>
                <w:bCs/>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原厂维保</w:t>
            </w:r>
            <w:r>
              <w:rPr>
                <w:rFonts w:hint="eastAsia" w:cs="宋体"/>
                <w:b/>
                <w:bCs/>
                <w:color w:val="auto"/>
                <w:sz w:val="21"/>
                <w:szCs w:val="21"/>
                <w:highlight w:val="none"/>
                <w:lang w:val="en-US" w:eastAsia="zh-CN"/>
              </w:rPr>
              <w:t>的</w:t>
            </w:r>
            <w:r>
              <w:rPr>
                <w:rFonts w:hint="eastAsia" w:ascii="宋体" w:hAnsi="宋体" w:eastAsia="宋体" w:cs="宋体"/>
                <w:b/>
                <w:bCs/>
                <w:color w:val="auto"/>
                <w:sz w:val="21"/>
                <w:szCs w:val="21"/>
                <w:highlight w:val="none"/>
                <w:lang w:val="en-US" w:eastAsia="zh-CN"/>
              </w:rPr>
              <w:t>承诺函，未提供维保服务站点市场管理局备案证明或承诺函以上不得分。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213" w:type="pct"/>
            <w:vMerge w:val="continue"/>
            <w:tcBorders>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p>
        </w:tc>
        <w:tc>
          <w:tcPr>
            <w:tcW w:w="488" w:type="pct"/>
            <w:vMerge w:val="continue"/>
            <w:tcBorders>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p>
        </w:tc>
        <w:tc>
          <w:tcPr>
            <w:tcW w:w="332"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965" w:type="pc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所投品牌制造商或其分支机构自2018年以来3年内获得过2次省级及以上市场监督管理局（工商行政管理局）信用评价结果为 A+的得3分，1次得1分，没有不得分。（提供评价结果网址及公示截图)。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213" w:type="pct"/>
            <w:vMerge w:val="continue"/>
            <w:tcBorders>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rPr>
            </w:pPr>
          </w:p>
        </w:tc>
        <w:tc>
          <w:tcPr>
            <w:tcW w:w="488" w:type="pct"/>
            <w:vMerge w:val="continue"/>
            <w:tcBorders>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p>
        </w:tc>
        <w:tc>
          <w:tcPr>
            <w:tcW w:w="332" w:type="pct"/>
            <w:tcBorders>
              <w:top w:val="single" w:color="auto" w:sz="4" w:space="0"/>
              <w:left w:val="single" w:color="auto" w:sz="4" w:space="0"/>
              <w:right w:val="single" w:color="auto" w:sz="4" w:space="0"/>
            </w:tcBorders>
            <w:noWrap w:val="0"/>
            <w:vAlign w:val="center"/>
          </w:tcPr>
          <w:p>
            <w:pPr>
              <w:widowControl/>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7.5</w:t>
            </w:r>
          </w:p>
        </w:tc>
        <w:tc>
          <w:tcPr>
            <w:tcW w:w="3965" w:type="pc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质保期超过招标文件规定的，每增加1年得2.5分,最多得7.5分（须提供质保时间承诺函，格式自拟），增加延长的时间不满一年的不计分。如承诺质保3.5年，扣除基本质保2年，剩下按照增加1年质保期，得2.5分。</w:t>
            </w:r>
          </w:p>
        </w:tc>
      </w:tr>
    </w:tbl>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注：请保证以上所有提供材料的真实性（本项目将对业绩等材料进行网上公示）否则造成的一切后果由投标人承担。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（1）技术标评审未通过的投标文件将不得进入商务标的评审；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（2）本项目免费质保期最低为</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年，投标单位在此基础上自行承诺；免费质保期低于</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年的，技术标评审将不予通过。</w:t>
      </w:r>
    </w:p>
    <w:p>
      <w:pPr>
        <w:spacing w:line="360" w:lineRule="auto"/>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rPr>
        <w:t>技术评审以所有评委评分的算术平均值为最终得分，小数点后保留两位小数（四舍五入）。</w:t>
      </w:r>
    </w:p>
    <w:p>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4）评委主观评分项不接受质疑。</w:t>
      </w:r>
    </w:p>
    <w:p>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（5）近X年为投标截止之日起向前追溯X年。</w:t>
      </w:r>
    </w:p>
    <w:p>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（6）所提供的证明材料（文字、复印件或影印件）不完整、模糊不清、不准确，造成评标委员会的误评、错评及不利的评审后果由投标人自行承担。</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商务标评审（满分30分）</w:t>
      </w:r>
    </w:p>
    <w:p>
      <w:pPr>
        <w:spacing w:line="360" w:lineRule="auto"/>
        <w:ind w:firstLine="472" w:firstLineChars="196"/>
        <w:outlineLvl w:val="2"/>
        <w:rPr>
          <w:rFonts w:hint="eastAsia" w:ascii="宋体" w:hAnsi="宋体" w:eastAsia="宋体" w:cs="宋体"/>
          <w:bCs/>
          <w:color w:val="auto"/>
          <w:sz w:val="24"/>
          <w:szCs w:val="24"/>
          <w:highlight w:val="none"/>
        </w:rPr>
      </w:pPr>
      <w:bookmarkStart w:id="71" w:name="_Toc24944"/>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.1商务标初步评审</w:t>
      </w:r>
      <w:bookmarkEnd w:id="71"/>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符合性检查中发现商务标存在以下重大偏差之一者，将作为废标处理</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同时该投标人 所有投标报价不进入 5.2 商务标详细评审计算 ：</w:t>
      </w:r>
    </w:p>
    <w:p>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①不同投标人电子标书中出现相同唯一标识符（同一文件制作机器码、同一文件创建标识码、同一MAC地址、同一CPU序列号、同一硬盘号、同一数字证书）的</w:t>
      </w:r>
      <w:r>
        <w:rPr>
          <w:rFonts w:hint="eastAsia" w:ascii="宋体" w:hAnsi="宋体" w:eastAsia="宋体" w:cs="宋体"/>
          <w:color w:val="auto"/>
          <w:sz w:val="24"/>
          <w:szCs w:val="24"/>
          <w:highlight w:val="none"/>
        </w:rPr>
        <w:t>。</w:t>
      </w:r>
    </w:p>
    <w:p>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②</w:t>
      </w:r>
      <w:r>
        <w:rPr>
          <w:rFonts w:hint="eastAsia" w:ascii="宋体" w:hAnsi="宋体" w:eastAsia="宋体" w:cs="宋体"/>
          <w:b/>
          <w:bCs/>
          <w:color w:val="auto"/>
          <w:sz w:val="24"/>
          <w:szCs w:val="24"/>
          <w:highlight w:val="none"/>
        </w:rPr>
        <w:t>不同投标人编制的投标文件经交易平台查重分析，存在内容异常一致或实质性相同的。</w:t>
      </w:r>
    </w:p>
    <w:p>
      <w:pPr>
        <w:spacing w:before="72" w:line="185" w:lineRule="auto"/>
        <w:ind w:firstLine="44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③投标人投标报价超过控制价的。</w:t>
      </w:r>
    </w:p>
    <w:p>
      <w:pPr>
        <w:spacing w:before="72" w:line="358" w:lineRule="auto"/>
        <w:ind w:left="24" w:right="3" w:firstLine="419"/>
        <w:rPr>
          <w:rFonts w:hint="eastAsia" w:ascii="宋体" w:hAnsi="宋体" w:eastAsia="宋体" w:cs="宋体"/>
          <w:color w:val="auto"/>
          <w:spacing w:val="-15"/>
          <w:sz w:val="24"/>
          <w:szCs w:val="24"/>
          <w:highlight w:val="none"/>
        </w:rPr>
      </w:pPr>
      <w:r>
        <w:rPr>
          <w:rFonts w:hint="eastAsia" w:ascii="宋体" w:hAnsi="宋体" w:eastAsia="宋体" w:cs="宋体"/>
          <w:color w:val="auto"/>
          <w:spacing w:val="3"/>
          <w:sz w:val="24"/>
          <w:szCs w:val="24"/>
          <w:highlight w:val="none"/>
        </w:rPr>
        <w:t>④投标文件报价表中填报的的名称、数量或计量单位与招标人提供的不一致以致影响评标结果</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5"/>
          <w:sz w:val="24"/>
          <w:szCs w:val="24"/>
          <w:highlight w:val="none"/>
        </w:rPr>
        <w:t>的。</w:t>
      </w:r>
    </w:p>
    <w:p>
      <w:pPr>
        <w:spacing w:before="72" w:line="358" w:lineRule="auto"/>
        <w:ind w:left="24" w:right="3" w:firstLine="41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⑤评标委员会认为投标人的报价明显低于其他投标人的报价，有可能影响工程质量或者不能诚信</w:t>
      </w:r>
      <w:r>
        <w:rPr>
          <w:rFonts w:hint="eastAsia" w:ascii="宋体" w:hAnsi="宋体" w:eastAsia="宋体" w:cs="宋体"/>
          <w:color w:val="auto"/>
          <w:spacing w:val="-12"/>
          <w:sz w:val="24"/>
          <w:szCs w:val="24"/>
          <w:highlight w:val="none"/>
        </w:rPr>
        <w:t>履约的，将要求其在</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12"/>
          <w:sz w:val="24"/>
          <w:szCs w:val="24"/>
          <w:highlight w:val="none"/>
        </w:rPr>
        <w:t>0.5</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12"/>
          <w:sz w:val="24"/>
          <w:szCs w:val="24"/>
          <w:highlight w:val="none"/>
        </w:rPr>
        <w:t>小时内提供书面说明，必要时提交相关证明材料，评标委员会认定其报价低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于成本的将否决其投标，未在规定时间递交说明或证明材料的投标也将被否决。</w:t>
      </w:r>
    </w:p>
    <w:p>
      <w:pPr>
        <w:spacing w:before="202" w:line="185" w:lineRule="auto"/>
        <w:ind w:firstLine="44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⑥有关法律、法规规定的其它废标条件。</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存在上述①②条情形之一的属于投标文件雷同，评标委员会应在评标报告中作为异常情况予以记录并及时报告。</w:t>
      </w:r>
    </w:p>
    <w:p>
      <w:pPr>
        <w:widowControl/>
        <w:spacing w:line="360" w:lineRule="auto"/>
        <w:ind w:firstLine="482" w:firstLineChars="200"/>
        <w:rPr>
          <w:rFonts w:hint="eastAsia" w:ascii="宋体" w:hAnsi="宋体" w:eastAsia="宋体" w:cs="宋体"/>
          <w:color w:val="auto"/>
          <w:spacing w:val="-5"/>
          <w:sz w:val="24"/>
          <w:szCs w:val="24"/>
          <w:highlight w:val="none"/>
        </w:rPr>
      </w:pPr>
      <w:r>
        <w:rPr>
          <w:rFonts w:hint="eastAsia" w:ascii="宋体" w:hAnsi="宋体" w:eastAsia="宋体" w:cs="宋体"/>
          <w:b/>
          <w:color w:val="auto"/>
          <w:kern w:val="1"/>
          <w:sz w:val="24"/>
          <w:szCs w:val="24"/>
          <w:highlight w:val="none"/>
          <w:lang w:val="en-US" w:eastAsia="zh-CN"/>
        </w:rPr>
        <w:t>5</w:t>
      </w:r>
      <w:r>
        <w:rPr>
          <w:rFonts w:hint="eastAsia" w:ascii="宋体" w:hAnsi="宋体" w:eastAsia="宋体" w:cs="宋体"/>
          <w:b/>
          <w:color w:val="auto"/>
          <w:kern w:val="1"/>
          <w:sz w:val="24"/>
          <w:szCs w:val="24"/>
          <w:highlight w:val="none"/>
        </w:rPr>
        <w:t>.2</w:t>
      </w:r>
      <w:r>
        <w:rPr>
          <w:rFonts w:hint="eastAsia" w:ascii="宋体" w:hAnsi="宋体" w:eastAsia="宋体" w:cs="宋体"/>
          <w:b/>
          <w:bCs/>
          <w:color w:val="auto"/>
          <w:kern w:val="1"/>
          <w:sz w:val="24"/>
          <w:szCs w:val="24"/>
          <w:highlight w:val="none"/>
        </w:rPr>
        <w:t>投标报价评审方法（投标报价因重大偏差被认定为无效标或无效报价的不参与以下评审环节，以下所有涉及报价计算的结果均按四舍五入原则保留两位小数）：</w:t>
      </w:r>
    </w:p>
    <w:p>
      <w:pPr>
        <w:spacing w:before="72" w:line="358" w:lineRule="auto"/>
        <w:ind w:left="24" w:right="3" w:firstLine="419"/>
        <w:rPr>
          <w:rFonts w:hint="eastAsia" w:ascii="宋体" w:hAnsi="宋体" w:eastAsia="宋体" w:cs="宋体"/>
          <w:b/>
          <w:bCs/>
          <w:color w:val="auto"/>
          <w:spacing w:val="-5"/>
          <w:sz w:val="24"/>
          <w:szCs w:val="24"/>
          <w:highlight w:val="none"/>
        </w:rPr>
      </w:pPr>
      <w:r>
        <w:rPr>
          <w:rFonts w:hint="eastAsia" w:ascii="宋体" w:hAnsi="宋体" w:eastAsia="宋体" w:cs="宋体"/>
          <w:b/>
          <w:bCs/>
          <w:color w:val="auto"/>
          <w:spacing w:val="-5"/>
          <w:sz w:val="24"/>
          <w:szCs w:val="24"/>
          <w:highlight w:val="none"/>
        </w:rPr>
        <w:t>①本次招标设招标控制价为 A 值。</w:t>
      </w:r>
    </w:p>
    <w:p>
      <w:pPr>
        <w:spacing w:before="72" w:line="358" w:lineRule="auto"/>
        <w:ind w:left="24" w:right="3" w:firstLine="419"/>
        <w:rPr>
          <w:rFonts w:hint="eastAsia" w:ascii="宋体" w:hAnsi="宋体" w:eastAsia="宋体" w:cs="宋体"/>
          <w:b/>
          <w:bCs/>
          <w:color w:val="auto"/>
          <w:spacing w:val="-5"/>
          <w:sz w:val="24"/>
          <w:szCs w:val="24"/>
          <w:highlight w:val="none"/>
        </w:rPr>
      </w:pPr>
      <w:r>
        <w:rPr>
          <w:rFonts w:hint="eastAsia" w:ascii="宋体" w:hAnsi="宋体" w:eastAsia="宋体" w:cs="宋体"/>
          <w:b/>
          <w:bCs/>
          <w:color w:val="auto"/>
          <w:spacing w:val="-5"/>
          <w:sz w:val="24"/>
          <w:szCs w:val="24"/>
          <w:highlight w:val="none"/>
        </w:rPr>
        <w:t>②算术平均值B计算：本次招标设最高投标限价 A 值。所有在 A 值以下（不含 A 值）范围内的投标单位家数为M，M家数中按由高到低顺序去掉报价高的M×10%（四舍五入取整数）家和按由低到高顺序去掉报价低的  M×10%（四舍五入取整数）家后，在此范围内的所有投标报价取算术平均值为B值（当投标单位家数M≤6 时，则取所有投标报价的算数平均值为B值）</w:t>
      </w:r>
    </w:p>
    <w:p>
      <w:pPr>
        <w:spacing w:before="72" w:line="358" w:lineRule="auto"/>
        <w:ind w:left="24" w:right="3" w:firstLine="419"/>
        <w:rPr>
          <w:rFonts w:hint="eastAsia" w:ascii="宋体" w:hAnsi="宋体" w:eastAsia="宋体" w:cs="宋体"/>
          <w:b/>
          <w:bCs/>
          <w:color w:val="auto"/>
          <w:spacing w:val="-5"/>
          <w:sz w:val="24"/>
          <w:szCs w:val="24"/>
          <w:highlight w:val="none"/>
        </w:rPr>
      </w:pPr>
      <w:r>
        <w:rPr>
          <w:rFonts w:hint="eastAsia" w:ascii="宋体" w:hAnsi="宋体" w:eastAsia="宋体" w:cs="宋体"/>
          <w:b/>
          <w:bCs/>
          <w:color w:val="auto"/>
          <w:spacing w:val="-5"/>
          <w:sz w:val="24"/>
          <w:szCs w:val="24"/>
          <w:highlight w:val="none"/>
        </w:rPr>
        <w:t>③评标基准值C计算：所有不大于等于A值且不低于B值90%的有效投标报价的算术平均值做为评标基准值C。</w:t>
      </w:r>
    </w:p>
    <w:p>
      <w:pPr>
        <w:spacing w:before="72" w:line="358" w:lineRule="auto"/>
        <w:ind w:left="24" w:right="3" w:firstLine="419"/>
        <w:rPr>
          <w:rFonts w:hint="eastAsia" w:ascii="宋体" w:hAnsi="宋体" w:eastAsia="宋体" w:cs="宋体"/>
          <w:color w:val="auto"/>
          <w:highlight w:val="none"/>
        </w:rPr>
      </w:pPr>
      <w:r>
        <w:rPr>
          <w:rFonts w:hint="eastAsia" w:ascii="宋体" w:hAnsi="宋体" w:eastAsia="宋体" w:cs="宋体"/>
          <w:b/>
          <w:bCs/>
          <w:color w:val="auto"/>
          <w:spacing w:val="-5"/>
          <w:sz w:val="24"/>
          <w:szCs w:val="24"/>
          <w:highlight w:val="none"/>
        </w:rPr>
        <w:t>④商务标得分计算：投标人有效报价等于C值的得满分30分；投标报价每低于C值 1%扣0.</w:t>
      </w:r>
      <w:r>
        <w:rPr>
          <w:rFonts w:hint="eastAsia" w:ascii="宋体" w:hAnsi="宋体" w:eastAsia="宋体" w:cs="宋体"/>
          <w:b/>
          <w:bCs/>
          <w:color w:val="auto"/>
          <w:spacing w:val="-5"/>
          <w:sz w:val="24"/>
          <w:szCs w:val="24"/>
          <w:highlight w:val="none"/>
          <w:lang w:val="en-US" w:eastAsia="zh-CN"/>
        </w:rPr>
        <w:t>2</w:t>
      </w:r>
      <w:r>
        <w:rPr>
          <w:rFonts w:hint="eastAsia" w:ascii="宋体" w:hAnsi="宋体" w:eastAsia="宋体" w:cs="宋体"/>
          <w:b/>
          <w:bCs/>
          <w:color w:val="auto"/>
          <w:spacing w:val="-5"/>
          <w:sz w:val="24"/>
          <w:szCs w:val="24"/>
          <w:highlight w:val="none"/>
        </w:rPr>
        <w:t>分，投标报价每高于C值1%扣0.3分；不足1%的，按照直线插入法计算得分（得分计算结果保留小数点后2位数字，第3位四舍五入）。</w:t>
      </w:r>
    </w:p>
    <w:p>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.投标人总得分=技术标得分+商务标得分</w:t>
      </w:r>
    </w:p>
    <w:p>
      <w:pPr>
        <w:pStyle w:val="8"/>
        <w:tabs>
          <w:tab w:val="left" w:pos="720"/>
        </w:tabs>
        <w:spacing w:line="360" w:lineRule="auto"/>
        <w:ind w:left="0"/>
        <w:rPr>
          <w:rFonts w:hint="eastAsia" w:ascii="宋体" w:hAnsi="宋体" w:eastAsia="宋体" w:cs="宋体"/>
          <w:color w:val="auto"/>
          <w:sz w:val="24"/>
          <w:szCs w:val="24"/>
          <w:highlight w:val="none"/>
        </w:rPr>
      </w:pPr>
      <w:bookmarkStart w:id="72" w:name="5.技术标评审"/>
      <w:bookmarkEnd w:id="72"/>
      <w:bookmarkStart w:id="73" w:name="7.企业信用评审"/>
      <w:bookmarkEnd w:id="73"/>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.企业信用评审</w:t>
      </w:r>
    </w:p>
    <w:p>
      <w:pPr>
        <w:pStyle w:val="2"/>
        <w:spacing w:line="360" w:lineRule="auto"/>
        <w:ind w:firstLine="480" w:firstLineChars="200"/>
        <w:jc w:val="both"/>
        <w:rPr>
          <w:rFonts w:hint="eastAsia" w:ascii="宋体" w:hAnsi="宋体" w:eastAsia="宋体" w:cs="宋体"/>
          <w:color w:val="auto"/>
          <w:sz w:val="24"/>
          <w:szCs w:val="24"/>
          <w:highlight w:val="none"/>
        </w:rPr>
      </w:pPr>
      <w:bookmarkStart w:id="74" w:name="8.推荐中标候选人"/>
      <w:bookmarkEnd w:id="74"/>
      <w:bookmarkStart w:id="75" w:name="7.1投标人不良行为记录"/>
      <w:bookmarkEnd w:id="75"/>
      <w:r>
        <w:rPr>
          <w:rFonts w:hint="eastAsia" w:ascii="宋体" w:hAnsi="宋体" w:eastAsia="宋体" w:cs="宋体"/>
          <w:color w:val="auto"/>
          <w:sz w:val="24"/>
          <w:szCs w:val="24"/>
          <w:highlight w:val="none"/>
        </w:rPr>
        <w:t>1、对总得分最高的投标人进行以下内容查询，如出现以下情形该投标人的投标将被否决，如有合格的投标人可递补，按照总得分由高到低顺序递补并查询以下相同内容，直至通过评审的投标人数量满足投标须知前附表 6.3.2 条评标委员会推荐中标候选人的人数为止：</w:t>
      </w:r>
    </w:p>
    <w:p>
      <w:pPr>
        <w:pStyle w:val="2"/>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（1）投标人被工商行政管理部门在全国企业信用信息公示系统中列入严重违法失信企业名单；</w:t>
      </w:r>
    </w:p>
    <w:p>
      <w:pPr>
        <w:pStyle w:val="2"/>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（2）投标人或投标人拟派项目负责人被最高人民法院在“信用中国”网站</w:t>
      </w:r>
    </w:p>
    <w:p>
      <w:pPr>
        <w:pStyle w:val="2"/>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（www.creditchina.gov.cn）中列入失信被执行人名单；</w:t>
      </w:r>
    </w:p>
    <w:p>
      <w:pPr>
        <w:pStyle w:val="2"/>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（3）投标人被国家税务总局在“信用中国”网站（www.creditchina.gov.cn）中列入 重大税收违法案件当事人名单；</w:t>
      </w:r>
    </w:p>
    <w:p>
      <w:pPr>
        <w:pStyle w:val="2"/>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（4）在近三年内投标人、法定代表人（单位负责人）或拟派项目负责人有行贿犯罪行为的（查询中国裁判文书网wenshu.court.gov.cn）。</w:t>
      </w:r>
    </w:p>
    <w:p>
      <w:pPr>
        <w:pStyle w:val="8"/>
        <w:tabs>
          <w:tab w:val="left" w:pos="782"/>
        </w:tabs>
        <w:spacing w:line="360" w:lineRule="auto"/>
        <w:ind w:lef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以上信用情况，投标人需打印相应网站查询截图放入投标文件中。评标现场的查询记录需经评标委员会签字确认，招标代理机构应将其作为评标资料存档。评标现场如因网络或设备原因无法查询的，也应予以记录。</w:t>
      </w:r>
    </w:p>
    <w:p>
      <w:pPr>
        <w:pStyle w:val="8"/>
        <w:tabs>
          <w:tab w:val="left" w:pos="782"/>
        </w:tabs>
        <w:spacing w:line="360" w:lineRule="auto"/>
        <w:ind w:left="0"/>
        <w:rPr>
          <w:rFonts w:hint="eastAsia" w:ascii="宋体" w:hAnsi="宋体" w:eastAsia="宋体" w:cs="宋体"/>
          <w:color w:val="auto"/>
          <w:sz w:val="22"/>
          <w:highlight w:val="none"/>
        </w:rPr>
      </w:pP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lang w:val="en-US"/>
        </w:rPr>
        <w:t>.</w:t>
      </w:r>
      <w:r>
        <w:rPr>
          <w:rFonts w:hint="eastAsia" w:ascii="宋体" w:hAnsi="宋体" w:eastAsia="宋体" w:cs="宋体"/>
          <w:color w:val="auto"/>
          <w:highlight w:val="none"/>
        </w:rPr>
        <w:t>推荐中标候选人</w:t>
      </w:r>
    </w:p>
    <w:p>
      <w:pPr>
        <w:spacing w:before="72" w:line="358" w:lineRule="auto"/>
        <w:ind w:left="3" w:right="65" w:firstLine="439"/>
        <w:rPr>
          <w:rFonts w:hint="eastAsia" w:ascii="宋体" w:hAnsi="宋体" w:eastAsia="宋体" w:cs="宋体"/>
          <w:color w:val="auto"/>
          <w:spacing w:val="-1"/>
          <w:sz w:val="24"/>
          <w:szCs w:val="24"/>
          <w:highlight w:val="none"/>
        </w:rPr>
      </w:pPr>
      <w:r>
        <w:rPr>
          <w:rFonts w:hint="eastAsia" w:ascii="宋体" w:hAnsi="宋体" w:eastAsia="宋体" w:cs="宋体"/>
          <w:color w:val="auto"/>
          <w:spacing w:val="-10"/>
          <w:sz w:val="24"/>
          <w:szCs w:val="24"/>
          <w:highlight w:val="none"/>
        </w:rPr>
        <w:t>投标单位通过资格审查、技术标评审、商务标评审、企业信用评审，且总得分最高的，将被推荐</w:t>
      </w:r>
      <w:r>
        <w:rPr>
          <w:rFonts w:hint="eastAsia" w:ascii="宋体" w:hAnsi="宋体" w:eastAsia="宋体" w:cs="宋体"/>
          <w:color w:val="auto"/>
          <w:spacing w:val="-1"/>
          <w:sz w:val="24"/>
          <w:szCs w:val="24"/>
          <w:highlight w:val="none"/>
        </w:rPr>
        <w:t>为第一中标候选人，评标委员会按总得分由高到低的顺序只推荐一名中标候选人。</w:t>
      </w:r>
    </w:p>
    <w:p>
      <w:pPr>
        <w:spacing w:before="72" w:line="358" w:lineRule="auto"/>
        <w:ind w:left="3" w:right="65" w:firstLine="439"/>
        <w:rPr>
          <w:rFonts w:hint="eastAsia" w:ascii="宋体" w:hAnsi="宋体" w:eastAsia="宋体" w:cs="宋体"/>
          <w:b/>
          <w:bCs/>
          <w:color w:val="auto"/>
          <w:sz w:val="24"/>
          <w:szCs w:val="24"/>
          <w:highlight w:val="none"/>
        </w:rPr>
      </w:pPr>
      <w:r>
        <w:rPr>
          <w:rFonts w:hint="eastAsia" w:ascii="宋体" w:hAnsi="宋体" w:eastAsia="宋体" w:cs="宋体"/>
          <w:color w:val="auto"/>
          <w:spacing w:val="-14"/>
          <w:sz w:val="24"/>
          <w:szCs w:val="24"/>
          <w:highlight w:val="none"/>
        </w:rPr>
        <w:t>若出现两家（及两家以上）投标单位的总得分相同时，投标报价低者优先；若报投标价也相同时，</w:t>
      </w:r>
      <w:r>
        <w:rPr>
          <w:rFonts w:hint="eastAsia" w:ascii="宋体" w:hAnsi="宋体" w:eastAsia="宋体" w:cs="宋体"/>
          <w:color w:val="auto"/>
          <w:spacing w:val="-8"/>
          <w:sz w:val="24"/>
          <w:szCs w:val="24"/>
          <w:highlight w:val="none"/>
        </w:rPr>
        <w:t>由招标人或代理机构在开标现场组织投标人抽签确定排序，若有投标人不能及时参加现场抽签的，则</w:t>
      </w:r>
      <w:r>
        <w:rPr>
          <w:rFonts w:hint="eastAsia" w:ascii="宋体" w:hAnsi="宋体" w:eastAsia="宋体" w:cs="宋体"/>
          <w:color w:val="auto"/>
          <w:spacing w:val="-4"/>
          <w:sz w:val="24"/>
          <w:szCs w:val="24"/>
          <w:highlight w:val="none"/>
        </w:rPr>
        <w:t>由招标人或代理机构在公管部门的现场监督下代为抽取，</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不论何种理由不能参加现场抽签的投标人应 无条件认可抽签结果。</w:t>
      </w:r>
      <w:r>
        <w:rPr>
          <w:rFonts w:hint="eastAsia" w:ascii="宋体" w:hAnsi="宋体" w:eastAsia="宋体" w:cs="宋体"/>
          <w:b/>
          <w:bCs/>
          <w:color w:val="auto"/>
          <w:spacing w:val="-4"/>
          <w:sz w:val="24"/>
          <w:szCs w:val="24"/>
          <w:highlight w:val="none"/>
        </w:rPr>
        <w:t>如本项目有业绩要求，评标委员会应在评标报告中载明经评审认可的中标候</w:t>
      </w:r>
      <w:bookmarkStart w:id="76" w:name="_bookmark11"/>
      <w:bookmarkEnd w:id="76"/>
      <w:r>
        <w:rPr>
          <w:rFonts w:hint="eastAsia" w:ascii="宋体" w:hAnsi="宋体" w:eastAsia="宋体" w:cs="宋体"/>
          <w:b/>
          <w:bCs/>
          <w:color w:val="auto"/>
          <w:spacing w:val="-4"/>
          <w:sz w:val="24"/>
          <w:szCs w:val="24"/>
          <w:highlight w:val="none"/>
        </w:rPr>
        <w:t>选人业绩情况，代理机构按照评标报告中载明的业绩予以公示。</w:t>
      </w:r>
    </w:p>
    <w:p>
      <w:pPr>
        <w:spacing w:before="285" w:line="319" w:lineRule="auto"/>
        <w:ind w:right="5" w:firstLine="4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中标候选人确定后，在后期异议、投诉调查过程中如发现投标人存在弄虚作假、串通投标等违法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违规行为或不符合招标文件实质性要求的，</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9"/>
          <w:sz w:val="24"/>
          <w:szCs w:val="24"/>
          <w:highlight w:val="none"/>
        </w:rPr>
        <w:t>不论其是否为中标候选人，</w:t>
      </w:r>
      <w:r>
        <w:rPr>
          <w:rFonts w:hint="eastAsia" w:ascii="宋体" w:hAnsi="宋体" w:eastAsia="宋体" w:cs="宋体"/>
          <w:color w:val="auto"/>
          <w:spacing w:val="-47"/>
          <w:sz w:val="24"/>
          <w:szCs w:val="24"/>
          <w:highlight w:val="none"/>
        </w:rPr>
        <w:t xml:space="preserve"> </w:t>
      </w:r>
      <w:r>
        <w:rPr>
          <w:rFonts w:hint="eastAsia" w:ascii="宋体" w:hAnsi="宋体" w:eastAsia="宋体" w:cs="宋体"/>
          <w:color w:val="auto"/>
          <w:spacing w:val="-9"/>
          <w:sz w:val="24"/>
          <w:szCs w:val="24"/>
          <w:highlight w:val="none"/>
        </w:rPr>
        <w:t>均不对已评审的结果重新计算，</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是中标候选人的，取消其中标资格。</w:t>
      </w:r>
    </w:p>
    <w:p>
      <w:pPr>
        <w:pStyle w:val="2"/>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当拟推荐的中标候选人报价存在可能影响合同履行的异常低价的，且投标文件中未附其不属于异常低价的证明材料或材料不足以证明时，评审委员会将要求投标人在 30 分钟内提供证明相关证明材料或补充证明材料。评审委员会对通过评审的异常低价中标候选人的合同履行能力及工程质量安全等风险应进行全面评估，并作为评标报告的附件；如中标候选人未提供或提供的材料不能证明其不属于异常低价的，评标委员会应否决其投标并将否决的理由写入评标报告，否决后，有其他合格的投标人可供选择的，应递补推荐。</w:t>
      </w:r>
    </w:p>
    <w:p>
      <w:pPr>
        <w:pStyle w:val="2"/>
        <w:spacing w:line="360" w:lineRule="auto"/>
        <w:ind w:firstLine="480" w:firstLineChars="200"/>
        <w:jc w:val="both"/>
        <w:rPr>
          <w:rFonts w:hint="eastAsia" w:ascii="宋体" w:hAnsi="宋体" w:eastAsia="宋体" w:cs="宋体"/>
          <w:color w:val="auto"/>
          <w:sz w:val="24"/>
          <w:szCs w:val="24"/>
          <w:highlight w:val="none"/>
        </w:rPr>
        <w:sectPr>
          <w:pgSz w:w="11905" w:h="16838"/>
          <w:pgMar w:top="1474" w:right="1474" w:bottom="1474" w:left="1474" w:header="799" w:footer="907" w:gutter="0"/>
          <w:cols w:space="0" w:num="1"/>
          <w:rtlGutter w:val="0"/>
          <w:docGrid w:linePitch="326" w:charSpace="0"/>
        </w:sectPr>
      </w:pPr>
      <w:r>
        <w:rPr>
          <w:rFonts w:hint="eastAsia" w:ascii="宋体" w:hAnsi="宋体" w:eastAsia="宋体" w:cs="宋体"/>
          <w:color w:val="auto"/>
          <w:sz w:val="24"/>
          <w:szCs w:val="24"/>
          <w:highlight w:val="none"/>
        </w:rPr>
        <w:t>中标候选人确定后，在后期异议、投诉调查过程中如发现投标人存在弄虚作假、串通投标等违法违规行为或不符合招标文件实质性要求的，不论其是否为中标候选人，均不对已评审的结果重新计算，是中标候选人的，取消其中标资格。</w:t>
      </w:r>
    </w:p>
    <w:p>
      <w:pPr>
        <w:pStyle w:val="4"/>
        <w:rPr>
          <w:rFonts w:hint="eastAsia" w:ascii="宋体" w:hAnsi="宋体" w:eastAsia="宋体" w:cs="宋体"/>
          <w:color w:val="auto"/>
          <w:highlight w:val="none"/>
        </w:rPr>
      </w:pPr>
      <w:bookmarkStart w:id="77" w:name="第三章__合_同_通_用_条_款"/>
      <w:bookmarkEnd w:id="77"/>
      <w:bookmarkStart w:id="78" w:name="第四章__投标文件格式"/>
      <w:bookmarkEnd w:id="78"/>
      <w:bookmarkStart w:id="79" w:name="_Toc17430"/>
      <w:bookmarkStart w:id="80" w:name="_Toc3855"/>
      <w:bookmarkStart w:id="81" w:name="_Toc2368"/>
      <w:r>
        <w:rPr>
          <w:rFonts w:hint="eastAsia" w:ascii="宋体" w:hAnsi="宋体" w:eastAsia="宋体" w:cs="宋体"/>
          <w:color w:val="auto"/>
          <w:highlight w:val="none"/>
        </w:rPr>
        <w:t>第四章</w:t>
      </w:r>
      <w:r>
        <w:rPr>
          <w:rFonts w:hint="eastAsia" w:ascii="宋体" w:hAnsi="宋体" w:eastAsia="宋体" w:cs="宋体"/>
          <w:color w:val="auto"/>
          <w:highlight w:val="none"/>
          <w:lang w:val="en-US"/>
        </w:rPr>
        <w:t xml:space="preserve">  </w:t>
      </w:r>
      <w:r>
        <w:rPr>
          <w:rFonts w:hint="eastAsia" w:ascii="宋体" w:hAnsi="宋体" w:eastAsia="宋体" w:cs="宋体"/>
          <w:color w:val="auto"/>
          <w:highlight w:val="none"/>
        </w:rPr>
        <w:t>投标文件格式</w:t>
      </w:r>
      <w:bookmarkEnd w:id="79"/>
      <w:bookmarkEnd w:id="80"/>
      <w:bookmarkEnd w:id="81"/>
    </w:p>
    <w:p>
      <w:pPr>
        <w:pStyle w:val="2"/>
        <w:spacing w:before="4"/>
        <w:rPr>
          <w:rFonts w:hint="eastAsia" w:ascii="宋体" w:hAnsi="宋体" w:eastAsia="宋体" w:cs="宋体"/>
          <w:b/>
          <w:color w:val="auto"/>
          <w:sz w:val="42"/>
          <w:highlight w:val="none"/>
        </w:rPr>
      </w:pPr>
    </w:p>
    <w:p>
      <w:pPr>
        <w:pStyle w:val="6"/>
        <w:spacing w:before="1"/>
        <w:ind w:left="0" w:right="3059"/>
        <w:jc w:val="right"/>
        <w:rPr>
          <w:rFonts w:hint="eastAsia" w:ascii="宋体" w:hAnsi="宋体" w:eastAsia="宋体" w:cs="宋体"/>
          <w:color w:val="auto"/>
          <w:highlight w:val="none"/>
        </w:rPr>
      </w:pPr>
      <w:bookmarkStart w:id="82" w:name="一、投标资格初步审查资料"/>
      <w:bookmarkEnd w:id="82"/>
      <w:r>
        <w:rPr>
          <w:rFonts w:hint="eastAsia" w:ascii="宋体" w:hAnsi="宋体" w:eastAsia="宋体" w:cs="宋体"/>
          <w:color w:val="auto"/>
          <w:highlight w:val="none"/>
        </w:rPr>
        <w:t>一、投标资格初步审查资料</w:t>
      </w:r>
    </w:p>
    <w:p>
      <w:pPr>
        <w:pStyle w:val="2"/>
        <w:rPr>
          <w:rFonts w:hint="eastAsia" w:ascii="宋体" w:hAnsi="宋体" w:eastAsia="宋体" w:cs="宋体"/>
          <w:b/>
          <w:color w:val="auto"/>
          <w:sz w:val="28"/>
          <w:highlight w:val="none"/>
        </w:rPr>
      </w:pPr>
    </w:p>
    <w:p>
      <w:pPr>
        <w:pStyle w:val="2"/>
        <w:rPr>
          <w:rFonts w:hint="eastAsia" w:ascii="宋体" w:hAnsi="宋体" w:eastAsia="宋体" w:cs="宋体"/>
          <w:b/>
          <w:color w:val="auto"/>
          <w:sz w:val="28"/>
          <w:highlight w:val="none"/>
        </w:rPr>
      </w:pPr>
    </w:p>
    <w:p>
      <w:pPr>
        <w:pStyle w:val="2"/>
        <w:spacing w:before="5"/>
        <w:rPr>
          <w:rFonts w:hint="eastAsia" w:ascii="宋体" w:hAnsi="宋体" w:eastAsia="宋体" w:cs="宋体"/>
          <w:b/>
          <w:color w:val="auto"/>
          <w:sz w:val="17"/>
          <w:highlight w:val="none"/>
        </w:rPr>
      </w:pPr>
    </w:p>
    <w:p>
      <w:pPr>
        <w:pStyle w:val="8"/>
        <w:tabs>
          <w:tab w:val="left" w:pos="2892"/>
        </w:tabs>
        <w:ind w:left="0" w:right="3126"/>
        <w:jc w:val="right"/>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项目招标</w:t>
      </w:r>
    </w:p>
    <w:p>
      <w:pPr>
        <w:pStyle w:val="2"/>
        <w:rPr>
          <w:rFonts w:hint="eastAsia" w:ascii="宋体" w:hAnsi="宋体" w:eastAsia="宋体" w:cs="宋体"/>
          <w:b/>
          <w:color w:val="auto"/>
          <w:sz w:val="20"/>
          <w:highlight w:val="none"/>
        </w:rPr>
      </w:pPr>
    </w:p>
    <w:p>
      <w:pPr>
        <w:pStyle w:val="2"/>
        <w:spacing w:before="17"/>
        <w:rPr>
          <w:rFonts w:hint="eastAsia" w:ascii="宋体" w:hAnsi="宋体" w:eastAsia="宋体" w:cs="宋体"/>
          <w:b/>
          <w:color w:val="auto"/>
          <w:sz w:val="12"/>
          <w:highlight w:val="none"/>
        </w:rPr>
      </w:pPr>
    </w:p>
    <w:p>
      <w:pPr>
        <w:tabs>
          <w:tab w:val="left" w:pos="602"/>
          <w:tab w:val="left" w:pos="1205"/>
          <w:tab w:val="left" w:pos="1807"/>
        </w:tabs>
        <w:spacing w:line="515" w:lineRule="exact"/>
        <w:ind w:right="14"/>
        <w:jc w:val="center"/>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投</w:t>
      </w:r>
      <w:r>
        <w:rPr>
          <w:rFonts w:hint="eastAsia" w:ascii="宋体" w:hAnsi="宋体" w:eastAsia="宋体" w:cs="宋体"/>
          <w:b/>
          <w:color w:val="auto"/>
          <w:sz w:val="30"/>
          <w:highlight w:val="none"/>
        </w:rPr>
        <w:tab/>
      </w:r>
      <w:r>
        <w:rPr>
          <w:rFonts w:hint="eastAsia" w:ascii="宋体" w:hAnsi="宋体" w:eastAsia="宋体" w:cs="宋体"/>
          <w:b/>
          <w:color w:val="auto"/>
          <w:sz w:val="30"/>
          <w:highlight w:val="none"/>
        </w:rPr>
        <w:t>标</w:t>
      </w:r>
      <w:r>
        <w:rPr>
          <w:rFonts w:hint="eastAsia" w:ascii="宋体" w:hAnsi="宋体" w:eastAsia="宋体" w:cs="宋体"/>
          <w:b/>
          <w:color w:val="auto"/>
          <w:sz w:val="30"/>
          <w:highlight w:val="none"/>
        </w:rPr>
        <w:tab/>
      </w:r>
      <w:r>
        <w:rPr>
          <w:rFonts w:hint="eastAsia" w:ascii="宋体" w:hAnsi="宋体" w:eastAsia="宋体" w:cs="宋体"/>
          <w:b/>
          <w:color w:val="auto"/>
          <w:sz w:val="30"/>
          <w:highlight w:val="none"/>
        </w:rPr>
        <w:t>文</w:t>
      </w:r>
      <w:r>
        <w:rPr>
          <w:rFonts w:hint="eastAsia" w:ascii="宋体" w:hAnsi="宋体" w:eastAsia="宋体" w:cs="宋体"/>
          <w:b/>
          <w:color w:val="auto"/>
          <w:sz w:val="30"/>
          <w:highlight w:val="none"/>
        </w:rPr>
        <w:tab/>
      </w:r>
      <w:r>
        <w:rPr>
          <w:rFonts w:hint="eastAsia" w:ascii="宋体" w:hAnsi="宋体" w:eastAsia="宋体" w:cs="宋体"/>
          <w:b/>
          <w:color w:val="auto"/>
          <w:sz w:val="30"/>
          <w:highlight w:val="none"/>
        </w:rPr>
        <w:t>件</w:t>
      </w:r>
    </w:p>
    <w:p>
      <w:pPr>
        <w:spacing w:before="97"/>
        <w:ind w:left="121" w:right="13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项目编号：</w:t>
      </w:r>
    </w:p>
    <w:p>
      <w:pPr>
        <w:pStyle w:val="2"/>
        <w:rPr>
          <w:rFonts w:hint="eastAsia" w:ascii="宋体" w:hAnsi="宋体" w:eastAsia="宋体" w:cs="宋体"/>
          <w:b/>
          <w:color w:val="auto"/>
          <w:highlight w:val="none"/>
        </w:rPr>
      </w:pPr>
    </w:p>
    <w:p>
      <w:pPr>
        <w:pStyle w:val="2"/>
        <w:spacing w:before="16"/>
        <w:rPr>
          <w:rFonts w:hint="eastAsia" w:ascii="宋体" w:hAnsi="宋体" w:eastAsia="宋体" w:cs="宋体"/>
          <w:b/>
          <w:color w:val="auto"/>
          <w:sz w:val="35"/>
          <w:highlight w:val="none"/>
        </w:rPr>
      </w:pPr>
    </w:p>
    <w:p>
      <w:pPr>
        <w:tabs>
          <w:tab w:val="left" w:pos="6802"/>
        </w:tabs>
        <w:spacing w:line="360" w:lineRule="auto"/>
        <w:ind w:firstLine="482" w:firstLineChars="200"/>
        <w:jc w:val="both"/>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rPr>
        <w:t>项目名称：</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rPr>
        <w:tab/>
      </w:r>
    </w:p>
    <w:p>
      <w:pPr>
        <w:tabs>
          <w:tab w:val="left" w:pos="6802"/>
        </w:tabs>
        <w:spacing w:line="360" w:lineRule="auto"/>
        <w:ind w:firstLine="482" w:firstLineChars="200"/>
        <w:jc w:val="both"/>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rPr>
        <w:t>投标文件内容：</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lang w:val="en-US"/>
        </w:rPr>
        <w:t xml:space="preserve">             </w:t>
      </w:r>
      <w:r>
        <w:rPr>
          <w:rFonts w:hint="eastAsia" w:ascii="宋体" w:hAnsi="宋体" w:eastAsia="宋体" w:cs="宋体"/>
          <w:b/>
          <w:color w:val="auto"/>
          <w:sz w:val="24"/>
          <w:highlight w:val="none"/>
          <w:u w:val="single"/>
        </w:rPr>
        <w:t>投标资格初步审查资料</w:t>
      </w:r>
      <w:r>
        <w:rPr>
          <w:rFonts w:hint="eastAsia" w:ascii="宋体" w:hAnsi="宋体" w:eastAsia="宋体" w:cs="宋体"/>
          <w:b/>
          <w:color w:val="auto"/>
          <w:sz w:val="24"/>
          <w:highlight w:val="none"/>
          <w:u w:val="single"/>
        </w:rPr>
        <w:tab/>
      </w:r>
    </w:p>
    <w:p>
      <w:pPr>
        <w:tabs>
          <w:tab w:val="left" w:pos="6802"/>
        </w:tabs>
        <w:spacing w:line="360" w:lineRule="auto"/>
        <w:ind w:firstLine="482" w:firstLineChars="200"/>
        <w:jc w:val="both"/>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rPr>
        <w:t>投  标 人：</w:t>
      </w:r>
      <w:r>
        <w:rPr>
          <w:rFonts w:hint="eastAsia" w:ascii="宋体" w:hAnsi="宋体" w:eastAsia="宋体" w:cs="宋体"/>
          <w:b/>
          <w:color w:val="auto"/>
          <w:sz w:val="24"/>
          <w:highlight w:val="none"/>
          <w:lang w:val="en-US"/>
        </w:rPr>
        <w:t xml:space="preserve">  </w:t>
      </w:r>
      <w:r>
        <w:rPr>
          <w:rFonts w:hint="eastAsia" w:ascii="宋体" w:hAnsi="宋体" w:eastAsia="宋体" w:cs="宋体"/>
          <w:b/>
          <w:color w:val="auto"/>
          <w:sz w:val="24"/>
          <w:highlight w:val="none"/>
          <w:u w:val="single"/>
          <w:lang w:val="en-US"/>
        </w:rPr>
        <w:t xml:space="preserve">          </w:t>
      </w:r>
      <w:r>
        <w:rPr>
          <w:rFonts w:hint="eastAsia" w:ascii="宋体" w:hAnsi="宋体" w:eastAsia="宋体" w:cs="宋体"/>
          <w:b/>
          <w:color w:val="auto"/>
          <w:sz w:val="24"/>
          <w:highlight w:val="none"/>
          <w:u w:val="single"/>
        </w:rPr>
        <w:t>（盖公章）（电子投标文件中须盖单位电子印章）</w:t>
      </w:r>
    </w:p>
    <w:p>
      <w:pPr>
        <w:tabs>
          <w:tab w:val="left" w:pos="6802"/>
        </w:tabs>
        <w:spacing w:line="360" w:lineRule="auto"/>
        <w:ind w:firstLine="482" w:firstLineChars="200"/>
        <w:jc w:val="both"/>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法定代表人或其委托代理人：</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lang w:val="en-US"/>
        </w:rPr>
        <w:t xml:space="preserve">     </w:t>
      </w:r>
      <w:r>
        <w:rPr>
          <w:rFonts w:hint="eastAsia" w:ascii="宋体" w:hAnsi="宋体" w:eastAsia="宋体" w:cs="宋体"/>
          <w:b/>
          <w:color w:val="auto"/>
          <w:sz w:val="24"/>
          <w:highlight w:val="none"/>
          <w:u w:val="single"/>
        </w:rPr>
        <w:t>（签字或盖章）（电子投标文件中须盖电子印章）</w:t>
      </w:r>
      <w:r>
        <w:rPr>
          <w:rFonts w:hint="eastAsia" w:ascii="宋体" w:hAnsi="宋体" w:eastAsia="宋体" w:cs="宋体"/>
          <w:b/>
          <w:color w:val="auto"/>
          <w:sz w:val="24"/>
          <w:highlight w:val="none"/>
          <w:u w:val="single"/>
        </w:rPr>
        <w:tab/>
      </w:r>
    </w:p>
    <w:p>
      <w:pPr>
        <w:pStyle w:val="2"/>
        <w:rPr>
          <w:rFonts w:hint="eastAsia" w:ascii="宋体" w:hAnsi="宋体" w:eastAsia="宋体" w:cs="宋体"/>
          <w:b/>
          <w:color w:val="auto"/>
          <w:sz w:val="20"/>
          <w:highlight w:val="none"/>
        </w:rPr>
      </w:pPr>
    </w:p>
    <w:p>
      <w:pPr>
        <w:pStyle w:val="2"/>
        <w:spacing w:before="16"/>
        <w:rPr>
          <w:rFonts w:hint="eastAsia" w:ascii="宋体" w:hAnsi="宋体" w:eastAsia="宋体" w:cs="宋体"/>
          <w:b/>
          <w:color w:val="auto"/>
          <w:sz w:val="18"/>
          <w:highlight w:val="none"/>
        </w:rPr>
      </w:pPr>
    </w:p>
    <w:p>
      <w:pPr>
        <w:tabs>
          <w:tab w:val="left" w:pos="482"/>
          <w:tab w:val="left" w:pos="1742"/>
          <w:tab w:val="left" w:pos="2707"/>
          <w:tab w:val="left" w:pos="3614"/>
        </w:tabs>
        <w:spacing w:line="432" w:lineRule="exact"/>
        <w:ind w:right="14"/>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日</w:t>
      </w:r>
      <w:r>
        <w:rPr>
          <w:rFonts w:hint="eastAsia" w:ascii="宋体" w:hAnsi="宋体" w:eastAsia="宋体" w:cs="宋体"/>
          <w:b/>
          <w:color w:val="auto"/>
          <w:sz w:val="24"/>
          <w:highlight w:val="none"/>
        </w:rPr>
        <w:tab/>
      </w:r>
      <w:r>
        <w:rPr>
          <w:rFonts w:hint="eastAsia" w:ascii="宋体" w:hAnsi="宋体" w:eastAsia="宋体" w:cs="宋体"/>
          <w:b/>
          <w:color w:val="auto"/>
          <w:sz w:val="24"/>
          <w:highlight w:val="none"/>
        </w:rPr>
        <w:t>期：</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rPr>
        <w:tab/>
      </w:r>
      <w:r>
        <w:rPr>
          <w:rFonts w:hint="eastAsia" w:ascii="宋体" w:hAnsi="宋体" w:eastAsia="宋体" w:cs="宋体"/>
          <w:b/>
          <w:color w:val="auto"/>
          <w:sz w:val="24"/>
          <w:highlight w:val="none"/>
        </w:rPr>
        <w:t>年</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rPr>
        <w:tab/>
      </w:r>
      <w:r>
        <w:rPr>
          <w:rFonts w:hint="eastAsia" w:ascii="宋体" w:hAnsi="宋体" w:eastAsia="宋体" w:cs="宋体"/>
          <w:b/>
          <w:color w:val="auto"/>
          <w:sz w:val="24"/>
          <w:highlight w:val="none"/>
        </w:rPr>
        <w:t>月</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rPr>
        <w:tab/>
      </w:r>
      <w:r>
        <w:rPr>
          <w:rFonts w:hint="eastAsia" w:ascii="宋体" w:hAnsi="宋体" w:eastAsia="宋体" w:cs="宋体"/>
          <w:b/>
          <w:color w:val="auto"/>
          <w:sz w:val="24"/>
          <w:highlight w:val="none"/>
        </w:rPr>
        <w:t>日</w:t>
      </w:r>
    </w:p>
    <w:p>
      <w:pPr>
        <w:spacing w:line="432" w:lineRule="exact"/>
        <w:jc w:val="center"/>
        <w:rPr>
          <w:rFonts w:hint="eastAsia" w:ascii="宋体" w:hAnsi="宋体" w:eastAsia="宋体" w:cs="宋体"/>
          <w:color w:val="auto"/>
          <w:sz w:val="24"/>
          <w:highlight w:val="none"/>
        </w:rPr>
        <w:sectPr>
          <w:pgSz w:w="11905" w:h="16838"/>
          <w:pgMar w:top="1474" w:right="1474" w:bottom="1474" w:left="1474" w:header="799" w:footer="907" w:gutter="0"/>
          <w:cols w:space="0" w:num="1"/>
          <w:rtlGutter w:val="0"/>
          <w:docGrid w:linePitch="326" w:charSpace="0"/>
        </w:sectPr>
      </w:pPr>
    </w:p>
    <w:p>
      <w:pPr>
        <w:spacing w:line="475" w:lineRule="exact"/>
        <w:ind w:left="122" w:right="136"/>
        <w:jc w:val="center"/>
        <w:rPr>
          <w:rFonts w:hint="eastAsia" w:ascii="宋体" w:hAnsi="宋体" w:eastAsia="宋体" w:cs="宋体"/>
          <w:b/>
          <w:color w:val="auto"/>
          <w:sz w:val="28"/>
          <w:highlight w:val="none"/>
        </w:rPr>
      </w:pPr>
      <w:r>
        <w:rPr>
          <w:rFonts w:hint="eastAsia" w:ascii="宋体" w:hAnsi="宋体" w:eastAsia="宋体" w:cs="宋体"/>
          <w:b/>
          <w:color w:val="auto"/>
          <w:sz w:val="28"/>
          <w:highlight w:val="none"/>
        </w:rPr>
        <w:t>目录</w:t>
      </w:r>
    </w:p>
    <w:p>
      <w:pPr>
        <w:pStyle w:val="2"/>
        <w:spacing w:line="360" w:lineRule="auto"/>
        <w:ind w:firstLine="480" w:firstLineChars="200"/>
        <w:jc w:val="both"/>
        <w:rPr>
          <w:rFonts w:hint="eastAsia" w:ascii="宋体" w:hAnsi="宋体" w:eastAsia="宋体" w:cs="宋体"/>
          <w:color w:val="auto"/>
          <w:highlight w:val="none"/>
        </w:rPr>
      </w:pPr>
    </w:p>
    <w:p>
      <w:pPr>
        <w:pStyle w:val="2"/>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以下目录供参考，具体内容由招标代理机构人根据项目情况拟定</w:t>
      </w:r>
    </w:p>
    <w:p>
      <w:pPr>
        <w:pStyle w:val="2"/>
        <w:keepNext w:val="0"/>
        <w:keepLines w:val="0"/>
        <w:pageBreakBefore w:val="0"/>
        <w:widowControl w:val="0"/>
        <w:kinsoku/>
        <w:wordWrap/>
        <w:overflowPunct/>
        <w:topLinePunct w:val="0"/>
        <w:autoSpaceDE w:val="0"/>
        <w:autoSpaceDN w:val="0"/>
        <w:bidi w:val="0"/>
        <w:adjustRightInd/>
        <w:snapToGrid/>
        <w:spacing w:line="48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（一）法定代表人身份证明书</w:t>
      </w:r>
    </w:p>
    <w:p>
      <w:pPr>
        <w:pStyle w:val="2"/>
        <w:keepNext w:val="0"/>
        <w:keepLines w:val="0"/>
        <w:pageBreakBefore w:val="0"/>
        <w:widowControl w:val="0"/>
        <w:kinsoku/>
        <w:wordWrap/>
        <w:overflowPunct/>
        <w:topLinePunct w:val="0"/>
        <w:autoSpaceDE w:val="0"/>
        <w:autoSpaceDN w:val="0"/>
        <w:bidi w:val="0"/>
        <w:adjustRightInd/>
        <w:snapToGrid/>
        <w:spacing w:line="48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（二）法定代表人身份证复印件</w:t>
      </w:r>
    </w:p>
    <w:p>
      <w:pPr>
        <w:pStyle w:val="2"/>
        <w:keepNext w:val="0"/>
        <w:keepLines w:val="0"/>
        <w:pageBreakBefore w:val="0"/>
        <w:widowControl w:val="0"/>
        <w:kinsoku/>
        <w:wordWrap/>
        <w:overflowPunct/>
        <w:topLinePunct w:val="0"/>
        <w:autoSpaceDE w:val="0"/>
        <w:autoSpaceDN w:val="0"/>
        <w:bidi w:val="0"/>
        <w:adjustRightInd/>
        <w:snapToGrid/>
        <w:spacing w:line="48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（三）授权委托书</w:t>
      </w:r>
    </w:p>
    <w:p>
      <w:pPr>
        <w:pStyle w:val="2"/>
        <w:keepNext w:val="0"/>
        <w:keepLines w:val="0"/>
        <w:pageBreakBefore w:val="0"/>
        <w:widowControl w:val="0"/>
        <w:kinsoku/>
        <w:wordWrap/>
        <w:overflowPunct/>
        <w:topLinePunct w:val="0"/>
        <w:autoSpaceDE w:val="0"/>
        <w:autoSpaceDN w:val="0"/>
        <w:bidi w:val="0"/>
        <w:adjustRightInd/>
        <w:snapToGrid/>
        <w:spacing w:line="48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（四）授权委托人身份证复印件</w:t>
      </w:r>
    </w:p>
    <w:p>
      <w:pPr>
        <w:pStyle w:val="2"/>
        <w:keepNext w:val="0"/>
        <w:keepLines w:val="0"/>
        <w:pageBreakBefore w:val="0"/>
        <w:widowControl w:val="0"/>
        <w:kinsoku/>
        <w:wordWrap/>
        <w:overflowPunct/>
        <w:topLinePunct w:val="0"/>
        <w:autoSpaceDE w:val="0"/>
        <w:autoSpaceDN w:val="0"/>
        <w:bidi w:val="0"/>
        <w:adjustRightInd/>
        <w:snapToGrid/>
        <w:spacing w:line="48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（五） 电梯制造资质证书</w:t>
      </w:r>
    </w:p>
    <w:p>
      <w:pPr>
        <w:pStyle w:val="2"/>
        <w:keepNext w:val="0"/>
        <w:keepLines w:val="0"/>
        <w:pageBreakBefore w:val="0"/>
        <w:widowControl w:val="0"/>
        <w:kinsoku/>
        <w:wordWrap/>
        <w:overflowPunct/>
        <w:topLinePunct w:val="0"/>
        <w:autoSpaceDE w:val="0"/>
        <w:autoSpaceDN w:val="0"/>
        <w:bidi w:val="0"/>
        <w:adjustRightInd/>
        <w:snapToGrid/>
        <w:spacing w:line="48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（六）安装资质证书、制造商授权书（代理商投标需提供）</w:t>
      </w:r>
    </w:p>
    <w:p>
      <w:pPr>
        <w:pStyle w:val="2"/>
        <w:keepNext w:val="0"/>
        <w:keepLines w:val="0"/>
        <w:pageBreakBefore w:val="0"/>
        <w:widowControl w:val="0"/>
        <w:kinsoku/>
        <w:wordWrap/>
        <w:overflowPunct/>
        <w:topLinePunct w:val="0"/>
        <w:autoSpaceDE w:val="0"/>
        <w:autoSpaceDN w:val="0"/>
        <w:bidi w:val="0"/>
        <w:adjustRightInd/>
        <w:snapToGrid/>
        <w:spacing w:line="48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（七）保证金缴纳情况表</w:t>
      </w:r>
    </w:p>
    <w:p>
      <w:pPr>
        <w:pStyle w:val="2"/>
        <w:keepNext w:val="0"/>
        <w:keepLines w:val="0"/>
        <w:pageBreakBefore w:val="0"/>
        <w:widowControl w:val="0"/>
        <w:kinsoku/>
        <w:wordWrap/>
        <w:overflowPunct/>
        <w:topLinePunct w:val="0"/>
        <w:autoSpaceDE w:val="0"/>
        <w:autoSpaceDN w:val="0"/>
        <w:bidi w:val="0"/>
        <w:adjustRightInd/>
        <w:snapToGrid/>
        <w:spacing w:line="48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（八）投标保函（保证保险）</w:t>
      </w:r>
    </w:p>
    <w:p>
      <w:pPr>
        <w:pStyle w:val="2"/>
        <w:keepNext w:val="0"/>
        <w:keepLines w:val="0"/>
        <w:pageBreakBefore w:val="0"/>
        <w:widowControl w:val="0"/>
        <w:kinsoku/>
        <w:wordWrap/>
        <w:overflowPunct/>
        <w:topLinePunct w:val="0"/>
        <w:autoSpaceDE w:val="0"/>
        <w:autoSpaceDN w:val="0"/>
        <w:bidi w:val="0"/>
        <w:adjustRightInd/>
        <w:snapToGrid/>
        <w:spacing w:line="48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（九） 诚信承诺书</w:t>
      </w:r>
    </w:p>
    <w:p>
      <w:pPr>
        <w:pStyle w:val="2"/>
        <w:keepNext w:val="0"/>
        <w:keepLines w:val="0"/>
        <w:pageBreakBefore w:val="0"/>
        <w:widowControl w:val="0"/>
        <w:kinsoku/>
        <w:wordWrap/>
        <w:overflowPunct/>
        <w:topLinePunct w:val="0"/>
        <w:autoSpaceDE w:val="0"/>
        <w:autoSpaceDN w:val="0"/>
        <w:bidi w:val="0"/>
        <w:adjustRightInd/>
        <w:snapToGrid/>
        <w:spacing w:line="48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（十） 履约承诺书</w:t>
      </w:r>
    </w:p>
    <w:p>
      <w:pPr>
        <w:pStyle w:val="2"/>
        <w:keepNext w:val="0"/>
        <w:keepLines w:val="0"/>
        <w:pageBreakBefore w:val="0"/>
        <w:widowControl w:val="0"/>
        <w:kinsoku/>
        <w:wordWrap/>
        <w:overflowPunct/>
        <w:topLinePunct w:val="0"/>
        <w:autoSpaceDE w:val="0"/>
        <w:autoSpaceDN w:val="0"/>
        <w:bidi w:val="0"/>
        <w:adjustRightInd/>
        <w:snapToGrid/>
        <w:spacing w:line="48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（十一） 投标人认为需要提交的其他资料</w:t>
      </w:r>
    </w:p>
    <w:p>
      <w:pPr>
        <w:spacing w:line="360" w:lineRule="auto"/>
        <w:ind w:firstLine="440" w:firstLineChars="200"/>
        <w:rPr>
          <w:rFonts w:hint="eastAsia" w:ascii="宋体" w:hAnsi="宋体" w:eastAsia="宋体" w:cs="宋体"/>
          <w:color w:val="auto"/>
          <w:highlight w:val="none"/>
        </w:rPr>
        <w:sectPr>
          <w:pgSz w:w="11905" w:h="16838"/>
          <w:pgMar w:top="1474" w:right="1474" w:bottom="1474" w:left="1474" w:header="799" w:footer="907" w:gutter="0"/>
          <w:cols w:space="0" w:num="1"/>
          <w:rtlGutter w:val="0"/>
          <w:docGrid w:linePitch="326" w:charSpace="0"/>
        </w:sectPr>
      </w:pPr>
    </w:p>
    <w:p>
      <w:pPr>
        <w:pStyle w:val="6"/>
        <w:spacing w:line="475" w:lineRule="exact"/>
        <w:ind w:left="119" w:right="136"/>
        <w:rPr>
          <w:rFonts w:hint="eastAsia" w:ascii="宋体" w:hAnsi="宋体" w:eastAsia="宋体" w:cs="宋体"/>
          <w:color w:val="auto"/>
          <w:highlight w:val="none"/>
        </w:rPr>
      </w:pPr>
      <w:r>
        <w:rPr>
          <w:rFonts w:hint="eastAsia" w:ascii="宋体" w:hAnsi="宋体" w:eastAsia="宋体" w:cs="宋体"/>
          <w:color w:val="auto"/>
          <w:highlight w:val="none"/>
        </w:rPr>
        <w:t>（一）法定代表人身份证明书</w:t>
      </w:r>
    </w:p>
    <w:p>
      <w:pPr>
        <w:pStyle w:val="2"/>
        <w:rPr>
          <w:rFonts w:hint="eastAsia" w:ascii="宋体" w:hAnsi="宋体" w:eastAsia="宋体" w:cs="宋体"/>
          <w:b/>
          <w:color w:val="auto"/>
          <w:sz w:val="28"/>
          <w:highlight w:val="none"/>
        </w:rPr>
      </w:pPr>
    </w:p>
    <w:p>
      <w:pPr>
        <w:pStyle w:val="2"/>
        <w:tabs>
          <w:tab w:val="left" w:pos="7847"/>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单位名称：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p>
    <w:p>
      <w:pPr>
        <w:pStyle w:val="2"/>
        <w:tabs>
          <w:tab w:val="left" w:pos="7847"/>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单位性质：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p>
    <w:p>
      <w:pPr>
        <w:pStyle w:val="2"/>
        <w:tabs>
          <w:tab w:val="left" w:pos="1550"/>
          <w:tab w:val="left" w:pos="7837"/>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地</w:t>
      </w:r>
      <w:r>
        <w:rPr>
          <w:rFonts w:hint="eastAsia" w:ascii="宋体" w:hAnsi="宋体" w:eastAsia="宋体" w:cs="宋体"/>
          <w:color w:val="auto"/>
          <w:highlight w:val="none"/>
        </w:rPr>
        <w:tab/>
      </w:r>
      <w:r>
        <w:rPr>
          <w:rFonts w:hint="eastAsia" w:ascii="宋体" w:hAnsi="宋体" w:eastAsia="宋体" w:cs="宋体"/>
          <w:color w:val="auto"/>
          <w:highlight w:val="none"/>
        </w:rPr>
        <w:t>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p>
    <w:p>
      <w:pPr>
        <w:pStyle w:val="2"/>
        <w:tabs>
          <w:tab w:val="left" w:pos="3766"/>
          <w:tab w:val="left" w:pos="5511"/>
          <w:tab w:val="left" w:pos="7072"/>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成立时间：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pPr>
        <w:pStyle w:val="2"/>
        <w:tabs>
          <w:tab w:val="left" w:pos="7247"/>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经营期限：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p>
    <w:p>
      <w:pPr>
        <w:pStyle w:val="2"/>
        <w:tabs>
          <w:tab w:val="left" w:pos="1550"/>
          <w:tab w:val="left" w:pos="3766"/>
          <w:tab w:val="left" w:pos="4071"/>
          <w:tab w:val="left" w:pos="7127"/>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姓</w:t>
      </w:r>
      <w:r>
        <w:rPr>
          <w:rFonts w:hint="eastAsia" w:ascii="宋体" w:hAnsi="宋体" w:eastAsia="宋体" w:cs="宋体"/>
          <w:color w:val="auto"/>
          <w:highlight w:val="none"/>
        </w:rPr>
        <w:tab/>
      </w:r>
      <w:r>
        <w:rPr>
          <w:rFonts w:hint="eastAsia" w:ascii="宋体" w:hAnsi="宋体" w:eastAsia="宋体" w:cs="宋体"/>
          <w:color w:val="auto"/>
          <w:highlight w:val="none"/>
        </w:rPr>
        <w:t>名：</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ab/>
      </w:r>
      <w:r>
        <w:rPr>
          <w:rFonts w:hint="eastAsia" w:ascii="宋体" w:hAnsi="宋体" w:eastAsia="宋体" w:cs="宋体"/>
          <w:color w:val="auto"/>
          <w:highlight w:val="none"/>
        </w:rPr>
        <w:t>性别：</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p>
    <w:p>
      <w:pPr>
        <w:pStyle w:val="2"/>
        <w:tabs>
          <w:tab w:val="left" w:pos="1550"/>
          <w:tab w:val="left" w:pos="3766"/>
          <w:tab w:val="left" w:pos="4071"/>
          <w:tab w:val="left" w:pos="7177"/>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年</w:t>
      </w:r>
      <w:r>
        <w:rPr>
          <w:rFonts w:hint="eastAsia" w:ascii="宋体" w:hAnsi="宋体" w:eastAsia="宋体" w:cs="宋体"/>
          <w:color w:val="auto"/>
          <w:highlight w:val="none"/>
        </w:rPr>
        <w:tab/>
      </w:r>
      <w:r>
        <w:rPr>
          <w:rFonts w:hint="eastAsia" w:ascii="宋体" w:hAnsi="宋体" w:eastAsia="宋体" w:cs="宋体"/>
          <w:color w:val="auto"/>
          <w:highlight w:val="none"/>
        </w:rPr>
        <w:t>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ab/>
      </w:r>
      <w:r>
        <w:rPr>
          <w:rFonts w:hint="eastAsia" w:ascii="宋体" w:hAnsi="宋体" w:eastAsia="宋体" w:cs="宋体"/>
          <w:color w:val="auto"/>
          <w:highlight w:val="none"/>
        </w:rPr>
        <w:t xml:space="preserve">职务：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p>
    <w:p>
      <w:pPr>
        <w:pStyle w:val="2"/>
        <w:tabs>
          <w:tab w:val="left" w:pos="1310"/>
          <w:tab w:val="left" w:pos="2271"/>
          <w:tab w:val="left" w:pos="5391"/>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系</w:t>
      </w:r>
      <w:r>
        <w:rPr>
          <w:rFonts w:hint="eastAsia" w:ascii="宋体" w:hAnsi="宋体" w:eastAsia="宋体" w:cs="宋体"/>
          <w:color w:val="auto"/>
          <w:highlight w:val="none"/>
        </w:rPr>
        <w:tab/>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（投标人单位名称）</w:t>
      </w:r>
      <w:r>
        <w:rPr>
          <w:rFonts w:hint="eastAsia" w:ascii="宋体" w:hAnsi="宋体" w:eastAsia="宋体" w:cs="宋体"/>
          <w:color w:val="auto"/>
          <w:highlight w:val="none"/>
          <w:u w:val="single"/>
        </w:rPr>
        <w:tab/>
      </w:r>
      <w:r>
        <w:rPr>
          <w:rFonts w:hint="eastAsia" w:ascii="宋体" w:hAnsi="宋体" w:eastAsia="宋体" w:cs="宋体"/>
          <w:color w:val="auto"/>
          <w:highlight w:val="none"/>
        </w:rPr>
        <w:t>的法定代表人。</w:t>
      </w:r>
    </w:p>
    <w:p>
      <w:pPr>
        <w:pStyle w:val="2"/>
        <w:tabs>
          <w:tab w:val="left" w:pos="1310"/>
          <w:tab w:val="left" w:pos="2271"/>
          <w:tab w:val="left" w:pos="5391"/>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手机号 ： </w:t>
      </w:r>
    </w:p>
    <w:p>
      <w:pPr>
        <w:pStyle w:val="2"/>
        <w:tabs>
          <w:tab w:val="left" w:pos="1310"/>
          <w:tab w:val="left" w:pos="2271"/>
          <w:tab w:val="left" w:pos="5391"/>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特此证明。</w:t>
      </w:r>
    </w:p>
    <w:p>
      <w:pPr>
        <w:pStyle w:val="2"/>
        <w:tabs>
          <w:tab w:val="left" w:pos="1310"/>
          <w:tab w:val="left" w:pos="2271"/>
          <w:tab w:val="left" w:pos="5391"/>
        </w:tabs>
        <w:spacing w:line="360" w:lineRule="auto"/>
        <w:ind w:firstLine="480" w:firstLineChars="200"/>
        <w:rPr>
          <w:rFonts w:hint="eastAsia" w:ascii="宋体" w:hAnsi="宋体" w:eastAsia="宋体" w:cs="宋体"/>
          <w:color w:val="auto"/>
          <w:highlight w:val="none"/>
        </w:rPr>
      </w:pPr>
    </w:p>
    <w:p>
      <w:pPr>
        <w:pStyle w:val="2"/>
        <w:tabs>
          <w:tab w:val="left" w:pos="1310"/>
          <w:tab w:val="left" w:pos="2271"/>
          <w:tab w:val="left" w:pos="5391"/>
        </w:tabs>
        <w:spacing w:line="360" w:lineRule="auto"/>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（盖公章）（电子投标文件中须盖单位电子印章）</w:t>
      </w:r>
    </w:p>
    <w:p>
      <w:pPr>
        <w:pStyle w:val="2"/>
        <w:tabs>
          <w:tab w:val="left" w:pos="1310"/>
          <w:tab w:val="left" w:pos="2271"/>
          <w:tab w:val="left" w:pos="5391"/>
        </w:tabs>
        <w:spacing w:line="360" w:lineRule="auto"/>
        <w:ind w:firstLine="480" w:firstLineChars="200"/>
        <w:rPr>
          <w:rFonts w:hint="eastAsia" w:ascii="宋体" w:hAnsi="宋体" w:eastAsia="宋体" w:cs="宋体"/>
          <w:color w:val="auto"/>
          <w:highlight w:val="none"/>
          <w:u w:val="single"/>
        </w:rPr>
      </w:pPr>
    </w:p>
    <w:p>
      <w:pPr>
        <w:pStyle w:val="2"/>
        <w:tabs>
          <w:tab w:val="left" w:pos="1310"/>
          <w:tab w:val="left" w:pos="2271"/>
          <w:tab w:val="left" w:pos="5391"/>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日</w:t>
      </w:r>
      <w:r>
        <w:rPr>
          <w:rFonts w:hint="eastAsia" w:ascii="宋体" w:hAnsi="宋体" w:eastAsia="宋体" w:cs="宋体"/>
          <w:color w:val="auto"/>
          <w:highlight w:val="none"/>
        </w:rPr>
        <w:tab/>
      </w:r>
      <w:r>
        <w:rPr>
          <w:rFonts w:hint="eastAsia" w:ascii="宋体" w:hAnsi="宋体" w:eastAsia="宋体" w:cs="宋体"/>
          <w:color w:val="auto"/>
          <w:highlight w:val="none"/>
        </w:rPr>
        <w:t>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rPr>
        <w:t xml:space="preserve">  </w:t>
      </w:r>
      <w:r>
        <w:rPr>
          <w:rFonts w:hint="eastAsia" w:ascii="宋体" w:hAnsi="宋体" w:eastAsia="宋体" w:cs="宋体"/>
          <w:color w:val="auto"/>
          <w:highlight w:val="none"/>
        </w:rPr>
        <w:t>日</w:t>
      </w:r>
    </w:p>
    <w:p>
      <w:pPr>
        <w:spacing w:line="360" w:lineRule="auto"/>
        <w:ind w:firstLine="440" w:firstLineChars="200"/>
        <w:rPr>
          <w:rFonts w:hint="eastAsia" w:ascii="宋体" w:hAnsi="宋体" w:eastAsia="宋体" w:cs="宋体"/>
          <w:color w:val="auto"/>
          <w:highlight w:val="none"/>
        </w:rPr>
        <w:sectPr>
          <w:pgSz w:w="11905" w:h="16838"/>
          <w:pgMar w:top="1474" w:right="1474" w:bottom="1474" w:left="1474" w:header="799" w:footer="907" w:gutter="0"/>
          <w:cols w:space="0" w:num="1"/>
          <w:rtlGutter w:val="0"/>
          <w:docGrid w:linePitch="326" w:charSpace="0"/>
        </w:sectPr>
      </w:pPr>
    </w:p>
    <w:p>
      <w:pPr>
        <w:pStyle w:val="6"/>
        <w:spacing w:line="360" w:lineRule="auto"/>
        <w:ind w:left="0" w:right="0" w:firstLine="562" w:firstLineChars="200"/>
        <w:rPr>
          <w:rFonts w:hint="eastAsia" w:ascii="宋体" w:hAnsi="宋体" w:eastAsia="宋体" w:cs="宋体"/>
          <w:color w:val="auto"/>
          <w:highlight w:val="none"/>
        </w:rPr>
      </w:pPr>
      <w:r>
        <w:rPr>
          <w:rFonts w:hint="eastAsia" w:ascii="宋体" w:hAnsi="宋体" w:eastAsia="宋体" w:cs="宋体"/>
          <w:color w:val="auto"/>
          <w:highlight w:val="none"/>
        </w:rPr>
        <w:t>(二） 法定代表人身份证复印件</w:t>
      </w:r>
    </w:p>
    <w:p>
      <w:pPr>
        <w:spacing w:line="360" w:lineRule="auto"/>
        <w:ind w:firstLine="440" w:firstLineChars="200"/>
        <w:rPr>
          <w:rFonts w:hint="eastAsia" w:ascii="宋体" w:hAnsi="宋体" w:eastAsia="宋体" w:cs="宋体"/>
          <w:color w:val="auto"/>
          <w:highlight w:val="none"/>
        </w:rPr>
        <w:sectPr>
          <w:pgSz w:w="11905" w:h="16838"/>
          <w:pgMar w:top="1474" w:right="1474" w:bottom="1474" w:left="1474" w:header="799" w:footer="907" w:gutter="0"/>
          <w:cols w:space="0" w:num="1"/>
          <w:rtlGutter w:val="0"/>
          <w:docGrid w:linePitch="326" w:charSpace="0"/>
        </w:sectPr>
      </w:pPr>
    </w:p>
    <w:p>
      <w:pPr>
        <w:spacing w:line="360" w:lineRule="auto"/>
        <w:ind w:firstLine="562" w:firstLineChars="200"/>
        <w:jc w:val="center"/>
        <w:rPr>
          <w:rFonts w:hint="eastAsia" w:ascii="宋体" w:hAnsi="宋体" w:eastAsia="宋体" w:cs="宋体"/>
          <w:b/>
          <w:color w:val="auto"/>
          <w:sz w:val="28"/>
          <w:highlight w:val="none"/>
        </w:rPr>
      </w:pPr>
      <w:r>
        <w:rPr>
          <w:rFonts w:hint="eastAsia" w:ascii="宋体" w:hAnsi="宋体" w:eastAsia="宋体" w:cs="宋体"/>
          <w:b/>
          <w:color w:val="auto"/>
          <w:sz w:val="28"/>
          <w:highlight w:val="none"/>
        </w:rPr>
        <w:t>（三）授权委托书</w:t>
      </w:r>
    </w:p>
    <w:p>
      <w:pPr>
        <w:pStyle w:val="2"/>
        <w:spacing w:line="360" w:lineRule="auto"/>
        <w:ind w:firstLine="723" w:firstLineChars="200"/>
        <w:rPr>
          <w:rFonts w:hint="eastAsia" w:ascii="宋体" w:hAnsi="宋体" w:eastAsia="宋体" w:cs="宋体"/>
          <w:b/>
          <w:color w:val="auto"/>
          <w:sz w:val="36"/>
          <w:highlight w:val="none"/>
        </w:rPr>
      </w:pPr>
    </w:p>
    <w:p>
      <w:pPr>
        <w:pStyle w:val="2"/>
        <w:tabs>
          <w:tab w:val="left" w:pos="4217"/>
        </w:tabs>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本授权委托书声明：我</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（姓名）</w:t>
      </w:r>
      <w:r>
        <w:rPr>
          <w:rFonts w:hint="eastAsia" w:ascii="宋体" w:hAnsi="宋体" w:eastAsia="宋体" w:cs="宋体"/>
          <w:color w:val="auto"/>
          <w:highlight w:val="none"/>
        </w:rPr>
        <w:t xml:space="preserve">系 </w:t>
      </w:r>
      <w:r>
        <w:rPr>
          <w:rFonts w:hint="eastAsia" w:ascii="宋体" w:hAnsi="宋体" w:eastAsia="宋体" w:cs="宋体"/>
          <w:color w:val="auto"/>
          <w:highlight w:val="none"/>
          <w:u w:val="single"/>
        </w:rPr>
        <w:t>（投 标 人 名 称）</w:t>
      </w:r>
      <w:r>
        <w:rPr>
          <w:rFonts w:hint="eastAsia" w:ascii="宋体" w:hAnsi="宋体" w:eastAsia="宋体" w:cs="宋体"/>
          <w:color w:val="auto"/>
          <w:highlight w:val="none"/>
        </w:rPr>
        <w:t>的法定代表人，现授权委托</w:t>
      </w:r>
      <w:r>
        <w:rPr>
          <w:rFonts w:hint="eastAsia" w:ascii="宋体" w:hAnsi="宋体" w:eastAsia="宋体" w:cs="宋体"/>
          <w:color w:val="auto"/>
          <w:highlight w:val="none"/>
          <w:u w:val="single"/>
        </w:rPr>
        <w:t xml:space="preserve">    （单位名称）   </w:t>
      </w:r>
      <w:r>
        <w:rPr>
          <w:rFonts w:hint="eastAsia" w:ascii="宋体" w:hAnsi="宋体" w:eastAsia="宋体" w:cs="宋体"/>
          <w:color w:val="auto"/>
          <w:highlight w:val="none"/>
        </w:rPr>
        <w:t xml:space="preserve"> 的</w:t>
      </w:r>
      <w:r>
        <w:rPr>
          <w:rFonts w:hint="eastAsia" w:ascii="宋体" w:hAnsi="宋体" w:eastAsia="宋体" w:cs="宋体"/>
          <w:color w:val="auto"/>
          <w:highlight w:val="none"/>
          <w:u w:val="single"/>
        </w:rPr>
        <w:t xml:space="preserve">   （姓名）</w:t>
      </w:r>
      <w:r>
        <w:rPr>
          <w:rFonts w:hint="eastAsia" w:ascii="宋体" w:hAnsi="宋体" w:eastAsia="宋体" w:cs="宋体"/>
          <w:color w:val="auto"/>
          <w:highlight w:val="none"/>
        </w:rPr>
        <w:t xml:space="preserve"> 为我公司的合法代理人，就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（合同名称）的投标、施工、竣工和保修，以本公司的名义签署投标书，解释投标文件，进行谈判、签署合同和处理与之有关的一切事宜。</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代理人无转委托权，特此委托。</w:t>
      </w:r>
    </w:p>
    <w:p>
      <w:pPr>
        <w:pStyle w:val="2"/>
        <w:tabs>
          <w:tab w:val="left" w:pos="479"/>
          <w:tab w:val="left" w:pos="960"/>
          <w:tab w:val="left" w:pos="3000"/>
          <w:tab w:val="left" w:pos="5280"/>
          <w:tab w:val="left" w:pos="7136"/>
        </w:tabs>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代</w:t>
      </w:r>
      <w:r>
        <w:rPr>
          <w:rFonts w:hint="eastAsia" w:ascii="宋体" w:hAnsi="宋体" w:eastAsia="宋体" w:cs="宋体"/>
          <w:color w:val="auto"/>
          <w:highlight w:val="none"/>
        </w:rPr>
        <w:tab/>
      </w:r>
      <w:r>
        <w:rPr>
          <w:rFonts w:hint="eastAsia" w:ascii="宋体" w:hAnsi="宋体" w:eastAsia="宋体" w:cs="宋体"/>
          <w:color w:val="auto"/>
          <w:highlight w:val="none"/>
        </w:rPr>
        <w:t>理</w:t>
      </w:r>
      <w:r>
        <w:rPr>
          <w:rFonts w:hint="eastAsia" w:ascii="宋体" w:hAnsi="宋体" w:eastAsia="宋体" w:cs="宋体"/>
          <w:color w:val="auto"/>
          <w:highlight w:val="none"/>
          <w:lang w:val="en-US"/>
        </w:rPr>
        <w:t xml:space="preserve">  </w:t>
      </w:r>
      <w:r>
        <w:rPr>
          <w:rFonts w:hint="eastAsia" w:ascii="宋体" w:hAnsi="宋体" w:eastAsia="宋体" w:cs="宋体"/>
          <w:color w:val="auto"/>
          <w:highlight w:val="none"/>
        </w:rPr>
        <w:t>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性别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年龄：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p>
    <w:p>
      <w:pPr>
        <w:pStyle w:val="2"/>
        <w:tabs>
          <w:tab w:val="left" w:pos="3415"/>
          <w:tab w:val="left" w:pos="5521"/>
          <w:tab w:val="left" w:pos="7136"/>
        </w:tabs>
        <w:spacing w:line="360" w:lineRule="auto"/>
        <w:ind w:firstLine="480" w:firstLineChars="200"/>
        <w:jc w:val="both"/>
        <w:rPr>
          <w:rFonts w:hint="eastAsia" w:ascii="宋体" w:hAnsi="宋体" w:eastAsia="宋体" w:cs="宋体"/>
          <w:color w:val="auto"/>
          <w:highlight w:val="none"/>
        </w:rPr>
      </w:pPr>
    </w:p>
    <w:p>
      <w:pPr>
        <w:pStyle w:val="2"/>
        <w:tabs>
          <w:tab w:val="left" w:pos="3415"/>
          <w:tab w:val="left" w:pos="5521"/>
          <w:tab w:val="left" w:pos="7136"/>
        </w:tabs>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身份证号码：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，手机号码 ：</w:t>
      </w:r>
      <w:r>
        <w:rPr>
          <w:rFonts w:hint="eastAsia" w:ascii="宋体" w:hAnsi="宋体" w:eastAsia="宋体" w:cs="宋体"/>
          <w:color w:val="auto"/>
          <w:highlight w:val="none"/>
        </w:rPr>
        <w:tab/>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p>
    <w:p>
      <w:pPr>
        <w:pStyle w:val="2"/>
        <w:spacing w:line="360" w:lineRule="auto"/>
        <w:ind w:firstLine="320" w:firstLineChars="200"/>
        <w:rPr>
          <w:rFonts w:hint="eastAsia" w:ascii="宋体" w:hAnsi="宋体" w:eastAsia="宋体" w:cs="宋体"/>
          <w:color w:val="auto"/>
          <w:sz w:val="16"/>
          <w:highlight w:val="none"/>
        </w:rPr>
      </w:pPr>
    </w:p>
    <w:p>
      <w:pPr>
        <w:pStyle w:val="2"/>
        <w:tabs>
          <w:tab w:val="left" w:pos="1901"/>
          <w:tab w:val="left" w:pos="2381"/>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投</w:t>
      </w:r>
      <w:r>
        <w:rPr>
          <w:rFonts w:hint="eastAsia" w:ascii="宋体" w:hAnsi="宋体" w:eastAsia="宋体" w:cs="宋体"/>
          <w:color w:val="auto"/>
          <w:highlight w:val="none"/>
          <w:lang w:val="en-US"/>
        </w:rPr>
        <w:t xml:space="preserve">  </w:t>
      </w:r>
      <w:r>
        <w:rPr>
          <w:rFonts w:hint="eastAsia" w:ascii="宋体" w:hAnsi="宋体" w:eastAsia="宋体" w:cs="宋体"/>
          <w:color w:val="auto"/>
          <w:highlight w:val="none"/>
        </w:rPr>
        <w:t>标</w:t>
      </w:r>
      <w:r>
        <w:rPr>
          <w:rFonts w:hint="eastAsia" w:ascii="宋体" w:hAnsi="宋体" w:eastAsia="宋体" w:cs="宋体"/>
          <w:color w:val="auto"/>
          <w:highlight w:val="none"/>
          <w:lang w:val="en-US"/>
        </w:rPr>
        <w:t xml:space="preserve">  </w:t>
      </w:r>
      <w:r>
        <w:rPr>
          <w:rFonts w:hint="eastAsia" w:ascii="宋体" w:hAnsi="宋体" w:eastAsia="宋体" w:cs="宋体"/>
          <w:color w:val="auto"/>
          <w:highlight w:val="none"/>
        </w:rPr>
        <w:t>人：</w:t>
      </w:r>
      <w:r>
        <w:rPr>
          <w:rFonts w:hint="eastAsia" w:ascii="宋体" w:hAnsi="宋体" w:eastAsia="宋体" w:cs="宋体"/>
          <w:color w:val="auto"/>
          <w:highlight w:val="none"/>
          <w:u w:val="single"/>
        </w:rPr>
        <w:t xml:space="preserve"> （盖章）（电子投标文件中须盖单位电子印章）</w:t>
      </w:r>
    </w:p>
    <w:p>
      <w:pPr>
        <w:pStyle w:val="2"/>
        <w:spacing w:line="360" w:lineRule="auto"/>
        <w:ind w:firstLine="400" w:firstLineChars="200"/>
        <w:rPr>
          <w:rFonts w:hint="eastAsia" w:ascii="宋体" w:hAnsi="宋体" w:eastAsia="宋体" w:cs="宋体"/>
          <w:color w:val="auto"/>
          <w:sz w:val="20"/>
          <w:highlight w:val="none"/>
        </w:rPr>
      </w:pP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法定代表人：</w:t>
      </w:r>
      <w:r>
        <w:rPr>
          <w:rFonts w:hint="eastAsia" w:ascii="宋体" w:hAnsi="宋体" w:eastAsia="宋体" w:cs="宋体"/>
          <w:color w:val="auto"/>
          <w:highlight w:val="none"/>
          <w:u w:val="single"/>
        </w:rPr>
        <w:t>（签字或盖章）（电子投标文件中须盖电子印章）</w:t>
      </w:r>
    </w:p>
    <w:p>
      <w:pPr>
        <w:pStyle w:val="2"/>
        <w:rPr>
          <w:rFonts w:hint="eastAsia" w:ascii="宋体" w:hAnsi="宋体" w:eastAsia="宋体" w:cs="宋体"/>
          <w:color w:val="auto"/>
          <w:sz w:val="20"/>
          <w:highlight w:val="none"/>
        </w:rPr>
      </w:pPr>
    </w:p>
    <w:p>
      <w:pPr>
        <w:pStyle w:val="2"/>
        <w:rPr>
          <w:rFonts w:hint="eastAsia" w:ascii="宋体" w:hAnsi="宋体" w:eastAsia="宋体" w:cs="宋体"/>
          <w:color w:val="auto"/>
          <w:sz w:val="20"/>
          <w:highlight w:val="none"/>
        </w:rPr>
      </w:pPr>
    </w:p>
    <w:p>
      <w:pPr>
        <w:pStyle w:val="2"/>
        <w:rPr>
          <w:rFonts w:hint="eastAsia" w:ascii="宋体" w:hAnsi="宋体" w:eastAsia="宋体" w:cs="宋体"/>
          <w:color w:val="auto"/>
          <w:sz w:val="20"/>
          <w:highlight w:val="none"/>
        </w:rPr>
      </w:pPr>
    </w:p>
    <w:p>
      <w:pPr>
        <w:pStyle w:val="2"/>
        <w:rPr>
          <w:rFonts w:hint="eastAsia" w:ascii="宋体" w:hAnsi="宋体" w:eastAsia="宋体" w:cs="宋体"/>
          <w:color w:val="auto"/>
          <w:sz w:val="20"/>
          <w:highlight w:val="none"/>
        </w:rPr>
      </w:pPr>
    </w:p>
    <w:p>
      <w:pPr>
        <w:pStyle w:val="2"/>
        <w:tabs>
          <w:tab w:val="left" w:pos="7117"/>
          <w:tab w:val="left" w:pos="7957"/>
          <w:tab w:val="left" w:pos="8797"/>
        </w:tabs>
        <w:spacing w:before="213"/>
        <w:ind w:left="4837"/>
        <w:rPr>
          <w:rFonts w:hint="eastAsia" w:ascii="宋体" w:hAnsi="宋体" w:eastAsia="宋体" w:cs="宋体"/>
          <w:color w:val="auto"/>
          <w:highlight w:val="none"/>
        </w:rPr>
      </w:pPr>
      <w:r>
        <w:rPr>
          <w:rFonts w:hint="eastAsia" w:ascii="宋体" w:hAnsi="宋体" w:eastAsia="宋体" w:cs="宋体"/>
          <w:color w:val="auto"/>
          <w:highlight w:val="none"/>
        </w:rPr>
        <w:t>授权委托日期：</w:t>
      </w:r>
      <w:r>
        <w:rPr>
          <w:rFonts w:hint="eastAsia" w:ascii="宋体" w:hAnsi="宋体" w:eastAsia="宋体" w:cs="宋体"/>
          <w:color w:val="auto"/>
          <w:highlight w:val="none"/>
        </w:rPr>
        <w:tab/>
      </w:r>
      <w:r>
        <w:rPr>
          <w:rFonts w:hint="eastAsia" w:ascii="宋体" w:hAnsi="宋体" w:eastAsia="宋体" w:cs="宋体"/>
          <w:color w:val="auto"/>
          <w:highlight w:val="none"/>
        </w:rPr>
        <w:t>年</w:t>
      </w:r>
      <w:r>
        <w:rPr>
          <w:rFonts w:hint="eastAsia" w:ascii="宋体" w:hAnsi="宋体" w:eastAsia="宋体" w:cs="宋体"/>
          <w:color w:val="auto"/>
          <w:highlight w:val="none"/>
        </w:rPr>
        <w:tab/>
      </w:r>
      <w:r>
        <w:rPr>
          <w:rFonts w:hint="eastAsia" w:ascii="宋体" w:hAnsi="宋体" w:eastAsia="宋体" w:cs="宋体"/>
          <w:color w:val="auto"/>
          <w:highlight w:val="none"/>
        </w:rPr>
        <w:t>月</w:t>
      </w:r>
      <w:r>
        <w:rPr>
          <w:rFonts w:hint="eastAsia" w:ascii="宋体" w:hAnsi="宋体" w:eastAsia="宋体" w:cs="宋体"/>
          <w:color w:val="auto"/>
          <w:highlight w:val="none"/>
        </w:rPr>
        <w:tab/>
      </w:r>
      <w:r>
        <w:rPr>
          <w:rFonts w:hint="eastAsia" w:ascii="宋体" w:hAnsi="宋体" w:eastAsia="宋体" w:cs="宋体"/>
          <w:color w:val="auto"/>
          <w:highlight w:val="none"/>
        </w:rPr>
        <w:t>日</w:t>
      </w:r>
    </w:p>
    <w:p>
      <w:pPr>
        <w:pStyle w:val="6"/>
        <w:spacing w:before="67" w:line="254" w:lineRule="auto"/>
        <w:ind w:left="221" w:right="271" w:firstLine="56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注：法人签署投标文件并到开标现场无需提供授权委托书，提供法定代表人身份证明书即可。手机号码请务必提供，以方便开评标现场质询及答复及时进行。</w:t>
      </w:r>
    </w:p>
    <w:p>
      <w:pPr>
        <w:rPr>
          <w:rFonts w:hint="eastAsia" w:ascii="宋体" w:hAnsi="宋体" w:eastAsia="宋体" w:cs="宋体"/>
          <w:color w:val="auto"/>
          <w:highlight w:val="none"/>
        </w:rPr>
      </w:pPr>
    </w:p>
    <w:p>
      <w:pPr>
        <w:spacing w:line="254" w:lineRule="auto"/>
        <w:jc w:val="both"/>
        <w:rPr>
          <w:rFonts w:hint="eastAsia" w:ascii="宋体" w:hAnsi="宋体" w:eastAsia="宋体" w:cs="宋体"/>
          <w:color w:val="auto"/>
          <w:sz w:val="24"/>
          <w:szCs w:val="24"/>
          <w:highlight w:val="none"/>
        </w:rPr>
        <w:sectPr>
          <w:pgSz w:w="11905" w:h="16838"/>
          <w:pgMar w:top="1474" w:right="1474" w:bottom="1474" w:left="1474" w:header="799" w:footer="907" w:gutter="0"/>
          <w:cols w:space="0" w:num="1"/>
          <w:rtlGutter w:val="0"/>
          <w:docGrid w:linePitch="326" w:charSpace="0"/>
        </w:sectPr>
      </w:pPr>
    </w:p>
    <w:p>
      <w:pPr>
        <w:tabs>
          <w:tab w:val="left" w:pos="1663"/>
        </w:tabs>
        <w:spacing w:line="475" w:lineRule="exact"/>
        <w:ind w:left="463"/>
        <w:jc w:val="center"/>
        <w:rPr>
          <w:rFonts w:hint="eastAsia" w:ascii="宋体" w:hAnsi="宋体" w:eastAsia="宋体" w:cs="宋体"/>
          <w:b/>
          <w:color w:val="auto"/>
          <w:sz w:val="28"/>
          <w:highlight w:val="none"/>
        </w:rPr>
      </w:pPr>
      <w:r>
        <w:rPr>
          <w:rFonts w:hint="eastAsia" w:ascii="宋体" w:hAnsi="宋体" w:eastAsia="宋体" w:cs="宋体"/>
          <w:b/>
          <w:color w:val="auto"/>
          <w:sz w:val="28"/>
          <w:highlight w:val="none"/>
        </w:rPr>
        <w:t>（四）</w:t>
      </w:r>
      <w:r>
        <w:rPr>
          <w:rFonts w:hint="eastAsia" w:ascii="宋体" w:hAnsi="宋体" w:eastAsia="宋体" w:cs="宋体"/>
          <w:b/>
          <w:color w:val="auto"/>
          <w:sz w:val="28"/>
          <w:highlight w:val="none"/>
        </w:rPr>
        <w:tab/>
      </w:r>
      <w:r>
        <w:rPr>
          <w:rFonts w:hint="eastAsia" w:ascii="宋体" w:hAnsi="宋体" w:eastAsia="宋体" w:cs="宋体"/>
          <w:b/>
          <w:color w:val="auto"/>
          <w:sz w:val="28"/>
          <w:highlight w:val="none"/>
        </w:rPr>
        <w:t>授权委托人身份证复印件</w:t>
      </w:r>
    </w:p>
    <w:p>
      <w:pPr>
        <w:spacing w:line="475" w:lineRule="exact"/>
        <w:jc w:val="center"/>
        <w:rPr>
          <w:rFonts w:hint="eastAsia" w:ascii="宋体" w:hAnsi="宋体" w:eastAsia="宋体" w:cs="宋体"/>
          <w:color w:val="auto"/>
          <w:sz w:val="28"/>
          <w:highlight w:val="none"/>
        </w:rPr>
      </w:pPr>
    </w:p>
    <w:p>
      <w:pPr>
        <w:pStyle w:val="2"/>
        <w:jc w:val="center"/>
        <w:rPr>
          <w:rFonts w:hint="eastAsia" w:ascii="宋体" w:hAnsi="宋体" w:eastAsia="宋体" w:cs="宋体"/>
          <w:b/>
          <w:color w:val="auto"/>
          <w:sz w:val="28"/>
          <w:highlight w:val="none"/>
        </w:rPr>
      </w:pPr>
      <w:r>
        <w:rPr>
          <w:rFonts w:hint="eastAsia" w:ascii="宋体" w:hAnsi="宋体" w:eastAsia="宋体" w:cs="宋体"/>
          <w:b/>
          <w:color w:val="auto"/>
          <w:sz w:val="28"/>
          <w:highlight w:val="none"/>
        </w:rPr>
        <w:t>（</w:t>
      </w:r>
      <w:r>
        <w:rPr>
          <w:rFonts w:hint="eastAsia" w:ascii="宋体" w:hAnsi="宋体" w:eastAsia="宋体" w:cs="宋体"/>
          <w:b/>
          <w:color w:val="auto"/>
          <w:sz w:val="28"/>
          <w:highlight w:val="none"/>
          <w:lang w:val="en-US" w:eastAsia="zh-CN"/>
        </w:rPr>
        <w:t>五</w:t>
      </w:r>
      <w:r>
        <w:rPr>
          <w:rFonts w:hint="eastAsia" w:ascii="宋体" w:hAnsi="宋体" w:eastAsia="宋体" w:cs="宋体"/>
          <w:b/>
          <w:color w:val="auto"/>
          <w:sz w:val="28"/>
          <w:highlight w:val="none"/>
        </w:rPr>
        <w:t>）电梯制造资质证书</w:t>
      </w:r>
    </w:p>
    <w:p>
      <w:pPr>
        <w:bidi w:val="0"/>
        <w:rPr>
          <w:rFonts w:hint="eastAsia" w:ascii="宋体" w:hAnsi="宋体" w:eastAsia="宋体" w:cs="宋体"/>
          <w:color w:val="auto"/>
          <w:highlight w:val="none"/>
        </w:rPr>
      </w:pPr>
    </w:p>
    <w:p>
      <w:pPr>
        <w:pStyle w:val="2"/>
        <w:jc w:val="center"/>
        <w:rPr>
          <w:rFonts w:hint="eastAsia" w:ascii="宋体" w:hAnsi="宋体" w:eastAsia="宋体" w:cs="宋体"/>
          <w:b/>
          <w:color w:val="auto"/>
          <w:sz w:val="13"/>
          <w:highlight w:val="none"/>
        </w:rPr>
      </w:pPr>
      <w:r>
        <w:rPr>
          <w:rFonts w:hint="eastAsia" w:ascii="宋体" w:hAnsi="宋体" w:eastAsia="宋体" w:cs="宋体"/>
          <w:color w:val="auto"/>
          <w:highlight w:val="none"/>
          <w:lang w:eastAsia="zh-CN"/>
        </w:rPr>
        <w:tab/>
      </w:r>
      <w:r>
        <w:rPr>
          <w:rFonts w:hint="eastAsia" w:ascii="宋体" w:hAnsi="宋体" w:eastAsia="宋体" w:cs="宋体"/>
          <w:b/>
          <w:color w:val="auto"/>
          <w:sz w:val="28"/>
          <w:highlight w:val="none"/>
        </w:rPr>
        <w:t>（</w:t>
      </w:r>
      <w:r>
        <w:rPr>
          <w:rFonts w:hint="eastAsia" w:ascii="宋体" w:hAnsi="宋体" w:eastAsia="宋体" w:cs="宋体"/>
          <w:b/>
          <w:color w:val="auto"/>
          <w:sz w:val="28"/>
          <w:highlight w:val="none"/>
          <w:lang w:val="en-US" w:eastAsia="zh-CN"/>
        </w:rPr>
        <w:t>六</w:t>
      </w:r>
      <w:r>
        <w:rPr>
          <w:rFonts w:hint="eastAsia" w:ascii="宋体" w:hAnsi="宋体" w:eastAsia="宋体" w:cs="宋体"/>
          <w:b/>
          <w:color w:val="auto"/>
          <w:sz w:val="28"/>
          <w:highlight w:val="none"/>
        </w:rPr>
        <w:t>）安装资质证书、制造商授权书（代理商投标需提供）</w:t>
      </w:r>
    </w:p>
    <w:p>
      <w:pPr>
        <w:spacing w:line="488" w:lineRule="exact"/>
        <w:ind w:left="121" w:right="136"/>
        <w:jc w:val="center"/>
        <w:rPr>
          <w:rFonts w:hint="eastAsia" w:ascii="宋体" w:hAnsi="宋体" w:eastAsia="宋体" w:cs="宋体"/>
          <w:b/>
          <w:color w:val="auto"/>
          <w:sz w:val="28"/>
          <w:highlight w:val="none"/>
        </w:rPr>
      </w:pPr>
      <w:r>
        <w:rPr>
          <w:rFonts w:hint="eastAsia" w:ascii="宋体" w:hAnsi="宋体" w:eastAsia="宋体" w:cs="宋体"/>
          <w:b/>
          <w:color w:val="auto"/>
          <w:sz w:val="28"/>
          <w:highlight w:val="none"/>
        </w:rPr>
        <w:t>（</w:t>
      </w:r>
      <w:r>
        <w:rPr>
          <w:rFonts w:hint="eastAsia" w:ascii="宋体" w:hAnsi="宋体" w:eastAsia="宋体" w:cs="宋体"/>
          <w:b/>
          <w:color w:val="auto"/>
          <w:sz w:val="28"/>
          <w:highlight w:val="none"/>
          <w:lang w:val="en-US" w:eastAsia="zh-CN"/>
        </w:rPr>
        <w:t>七</w:t>
      </w:r>
      <w:r>
        <w:rPr>
          <w:rFonts w:hint="eastAsia" w:ascii="宋体" w:hAnsi="宋体" w:eastAsia="宋体" w:cs="宋体"/>
          <w:b/>
          <w:color w:val="auto"/>
          <w:sz w:val="28"/>
          <w:highlight w:val="none"/>
        </w:rPr>
        <w:t>）保证金缴纳情况表</w:t>
      </w:r>
    </w:p>
    <w:p>
      <w:pPr>
        <w:pStyle w:val="2"/>
        <w:spacing w:before="4"/>
        <w:rPr>
          <w:rFonts w:hint="eastAsia" w:ascii="宋体" w:hAnsi="宋体" w:eastAsia="宋体" w:cs="宋体"/>
          <w:b/>
          <w:color w:val="auto"/>
          <w:sz w:val="41"/>
          <w:highlight w:val="none"/>
        </w:rPr>
      </w:pPr>
    </w:p>
    <w:p>
      <w:pPr>
        <w:pStyle w:val="2"/>
        <w:tabs>
          <w:tab w:val="left" w:pos="2621"/>
        </w:tabs>
        <w:spacing w:before="1"/>
        <w:ind w:left="221"/>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（招标人名称）：</w:t>
      </w:r>
    </w:p>
    <w:p>
      <w:pPr>
        <w:pStyle w:val="2"/>
        <w:spacing w:before="4"/>
        <w:rPr>
          <w:rFonts w:hint="eastAsia" w:ascii="宋体" w:hAnsi="宋体" w:eastAsia="宋体" w:cs="宋体"/>
          <w:color w:val="auto"/>
          <w:sz w:val="10"/>
          <w:highlight w:val="none"/>
        </w:rPr>
      </w:pPr>
    </w:p>
    <w:p>
      <w:pPr>
        <w:pStyle w:val="2"/>
        <w:tabs>
          <w:tab w:val="left" w:pos="1901"/>
        </w:tabs>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 xml:space="preserve">（投标人名称）（以下称“我单位”）于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日参加 </w:t>
      </w:r>
      <w:r>
        <w:rPr>
          <w:rFonts w:hint="eastAsia" w:ascii="宋体" w:hAnsi="宋体" w:eastAsia="宋体" w:cs="宋体"/>
          <w:color w:val="auto"/>
          <w:highlight w:val="none"/>
          <w:u w:val="single"/>
        </w:rPr>
        <w:t xml:space="preserve">       （项目名称）        </w:t>
      </w:r>
      <w:r>
        <w:rPr>
          <w:rFonts w:hint="eastAsia" w:ascii="宋体" w:hAnsi="宋体" w:eastAsia="宋体" w:cs="宋体"/>
          <w:color w:val="auto"/>
          <w:highlight w:val="none"/>
        </w:rPr>
        <w:t>标段施工的投标。对于我单位在规定的投标文件有效期内撤销或修改其投标文件的，或者在收到中标通知书后无正当理由拒签合同或拒交规定履约担保的等其它法律法规中规定的其它行为，我单位承担保证责任。</w:t>
      </w:r>
    </w:p>
    <w:p>
      <w:pPr>
        <w:pStyle w:val="2"/>
        <w:tabs>
          <w:tab w:val="left" w:pos="5142"/>
          <w:tab w:val="left" w:pos="8142"/>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我单位投标保证金用下述形式中</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方式来缴纳，金额为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（大写）。</w:t>
      </w:r>
    </w:p>
    <w:p>
      <w:pPr>
        <w:pStyle w:val="2"/>
        <w:spacing w:line="360" w:lineRule="auto"/>
        <w:ind w:firstLine="400" w:firstLineChars="200"/>
        <w:rPr>
          <w:rFonts w:hint="eastAsia" w:ascii="宋体" w:hAnsi="宋体" w:eastAsia="宋体" w:cs="宋体"/>
          <w:color w:val="auto"/>
          <w:sz w:val="20"/>
          <w:highlight w:val="none"/>
        </w:rPr>
      </w:pPr>
    </w:p>
    <w:p>
      <w:pPr>
        <w:pStyle w:val="2"/>
        <w:tabs>
          <w:tab w:val="left" w:pos="4236"/>
        </w:tabs>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投标人名称：</w:t>
      </w:r>
      <w:r>
        <w:rPr>
          <w:rFonts w:hint="eastAsia" w:ascii="宋体" w:hAnsi="宋体" w:eastAsia="宋体" w:cs="宋体"/>
          <w:color w:val="auto"/>
          <w:highlight w:val="none"/>
          <w:u w:val="single"/>
          <w:lang w:val="en-US"/>
        </w:rPr>
        <w:t xml:space="preserve">      </w:t>
      </w:r>
      <w:r>
        <w:rPr>
          <w:rFonts w:hint="eastAsia" w:ascii="宋体" w:hAnsi="宋体" w:eastAsia="宋体" w:cs="宋体"/>
          <w:color w:val="auto"/>
          <w:highlight w:val="none"/>
          <w:u w:val="single"/>
        </w:rPr>
        <w:t xml:space="preserve">（盖单位公章）（电子投标文件中须盖单位电子印章） </w:t>
      </w:r>
    </w:p>
    <w:p>
      <w:pPr>
        <w:pStyle w:val="2"/>
        <w:tabs>
          <w:tab w:val="left" w:pos="4236"/>
        </w:tabs>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u w:val="single"/>
        </w:rPr>
        <w:t xml:space="preserve">     （签字或盖章）（电子投标文件中须盖电子印章）</w:t>
      </w:r>
    </w:p>
    <w:p>
      <w:pPr>
        <w:pStyle w:val="2"/>
        <w:tabs>
          <w:tab w:val="left" w:pos="4236"/>
        </w:tabs>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地址：</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邮政编码：</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电话：</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传真：</w:t>
      </w:r>
    </w:p>
    <w:p>
      <w:pPr>
        <w:pStyle w:val="2"/>
        <w:tabs>
          <w:tab w:val="left" w:pos="7662"/>
          <w:tab w:val="left" w:pos="8862"/>
        </w:tabs>
        <w:jc w:val="right"/>
        <w:rPr>
          <w:rFonts w:hint="eastAsia" w:ascii="宋体" w:hAnsi="宋体" w:eastAsia="宋体" w:cs="宋体"/>
          <w:color w:val="auto"/>
          <w:highlight w:val="none"/>
        </w:rPr>
      </w:pP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日</w:t>
      </w:r>
    </w:p>
    <w:p>
      <w:pPr>
        <w:jc w:val="right"/>
        <w:rPr>
          <w:rFonts w:hint="eastAsia" w:ascii="宋体" w:hAnsi="宋体" w:eastAsia="宋体" w:cs="宋体"/>
          <w:color w:val="auto"/>
          <w:highlight w:val="none"/>
        </w:rPr>
        <w:sectPr>
          <w:pgSz w:w="11905" w:h="16838"/>
          <w:pgMar w:top="1474" w:right="1474" w:bottom="1474" w:left="1474" w:header="799" w:footer="907" w:gutter="0"/>
          <w:cols w:space="0" w:num="1"/>
          <w:rtlGutter w:val="0"/>
          <w:docGrid w:linePitch="326" w:charSpace="0"/>
        </w:sectPr>
      </w:pPr>
    </w:p>
    <w:p>
      <w:pPr>
        <w:spacing w:line="488" w:lineRule="exact"/>
        <w:ind w:left="121" w:right="136"/>
        <w:jc w:val="center"/>
        <w:rPr>
          <w:rFonts w:hint="eastAsia" w:ascii="宋体" w:hAnsi="宋体" w:eastAsia="宋体" w:cs="宋体"/>
          <w:b/>
          <w:color w:val="auto"/>
          <w:sz w:val="28"/>
          <w:highlight w:val="none"/>
        </w:rPr>
      </w:pPr>
      <w:bookmarkStart w:id="83" w:name="_Toc9843"/>
      <w:bookmarkStart w:id="84" w:name="_Toc7110"/>
      <w:r>
        <w:rPr>
          <w:rFonts w:hint="eastAsia" w:ascii="宋体" w:hAnsi="宋体" w:eastAsia="宋体" w:cs="宋体"/>
          <w:b/>
          <w:color w:val="auto"/>
          <w:sz w:val="28"/>
          <w:highlight w:val="none"/>
        </w:rPr>
        <w:t>（</w:t>
      </w:r>
      <w:r>
        <w:rPr>
          <w:rFonts w:hint="eastAsia" w:ascii="宋体" w:hAnsi="宋体" w:eastAsia="宋体" w:cs="宋体"/>
          <w:b/>
          <w:color w:val="auto"/>
          <w:sz w:val="28"/>
          <w:highlight w:val="none"/>
          <w:lang w:val="en-US" w:eastAsia="zh-CN"/>
        </w:rPr>
        <w:t>八</w:t>
      </w:r>
      <w:r>
        <w:rPr>
          <w:rFonts w:hint="eastAsia" w:ascii="宋体" w:hAnsi="宋体" w:eastAsia="宋体" w:cs="宋体"/>
          <w:b/>
          <w:color w:val="auto"/>
          <w:sz w:val="28"/>
          <w:highlight w:val="none"/>
        </w:rPr>
        <w:t>）投标保函</w:t>
      </w:r>
      <w:bookmarkEnd w:id="83"/>
      <w:bookmarkEnd w:id="84"/>
    </w:p>
    <w:p>
      <w:pPr>
        <w:spacing w:line="360" w:lineRule="auto"/>
        <w:ind w:right="1389"/>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编号：</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申请人： </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地 址 ： </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受益人： </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地 址 ： </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开立人： </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地</w:t>
      </w:r>
      <w:r>
        <w:rPr>
          <w:rFonts w:hint="eastAsia" w:ascii="宋体" w:hAnsi="宋体" w:eastAsia="宋体" w:cs="宋体"/>
          <w:color w:val="auto"/>
          <w:highlight w:val="none"/>
          <w:lang w:val="en-US"/>
        </w:rPr>
        <w:t xml:space="preserve"> </w:t>
      </w:r>
      <w:r>
        <w:rPr>
          <w:rFonts w:hint="eastAsia" w:ascii="宋体" w:hAnsi="宋体" w:eastAsia="宋体" w:cs="宋体"/>
          <w:color w:val="auto"/>
          <w:highlight w:val="none"/>
        </w:rPr>
        <w:t>址：</w:t>
      </w:r>
    </w:p>
    <w:p>
      <w:pPr>
        <w:pStyle w:val="2"/>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rPr>
        <w:t xml:space="preserve">    </w:t>
      </w:r>
      <w:r>
        <w:rPr>
          <w:rFonts w:hint="eastAsia" w:ascii="宋体" w:hAnsi="宋体" w:eastAsia="宋体" w:cs="宋体"/>
          <w:color w:val="auto"/>
          <w:highlight w:val="none"/>
          <w:u w:val="single"/>
        </w:rPr>
        <w:t xml:space="preserve">  （受益人名称）</w:t>
      </w:r>
    </w:p>
    <w:p>
      <w:pPr>
        <w:pStyle w:val="2"/>
        <w:tabs>
          <w:tab w:val="left" w:pos="4734"/>
        </w:tabs>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我方（即“开立人”）已获得通知，本保函申请人（即“投标人”）已响应贵方于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（以下简称“本工程”）发出的招标文件，并已向招标人（即“受益人”）提交了投标文件（即“基础交易”）。</w:t>
      </w:r>
    </w:p>
    <w:p>
      <w:pPr>
        <w:pStyle w:val="2"/>
        <w:tabs>
          <w:tab w:val="left" w:pos="9573"/>
        </w:tabs>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一、我方理解根据招标条件，投标人必须提交一份投标保函（以下简称“本保函”）， 以担保投标人诚信履行其在上述基础交易中承担的投标人义务。鉴此，应申请人要求，我方在此同意向贵方出具此投标保函，本保函担保金额最高不超过人民币（大写）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rPr>
        <w:t xml:space="preserve"> </w:t>
      </w:r>
      <w:r>
        <w:rPr>
          <w:rFonts w:hint="eastAsia" w:ascii="宋体" w:hAnsi="宋体" w:eastAsia="宋体" w:cs="宋体"/>
          <w:color w:val="auto"/>
          <w:highlight w:val="none"/>
        </w:rPr>
        <w:t>）。</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二、我方在投标人发生以下情形时承担保证担保责任：</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rPr>
        <w:t>1</w:t>
      </w:r>
      <w:r>
        <w:rPr>
          <w:rFonts w:hint="eastAsia" w:ascii="宋体" w:hAnsi="宋体" w:eastAsia="宋体" w:cs="宋体"/>
          <w:color w:val="auto"/>
          <w:highlight w:val="none"/>
        </w:rPr>
        <w:t>）投标人在开标后和投标有效期满之前撤销投标的；</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rPr>
        <w:t>2</w:t>
      </w:r>
      <w:r>
        <w:rPr>
          <w:rFonts w:hint="eastAsia" w:ascii="宋体" w:hAnsi="宋体" w:eastAsia="宋体" w:cs="宋体"/>
          <w:color w:val="auto"/>
          <w:highlight w:val="none"/>
        </w:rPr>
        <w:t>）投标人在收到中标通知后，不能或拒绝在中标通知书规定的时间内与贵方签订合同；</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rPr>
        <w:t>3</w:t>
      </w:r>
      <w:r>
        <w:rPr>
          <w:rFonts w:hint="eastAsia" w:ascii="宋体" w:hAnsi="宋体" w:eastAsia="宋体" w:cs="宋体"/>
          <w:color w:val="auto"/>
          <w:highlight w:val="none"/>
        </w:rPr>
        <w:t>）投标人在与贵方签订合同后，未在规定的时间内提交符合招标文件要求的履约担保；</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rPr>
        <w:t>4</w:t>
      </w:r>
      <w:r>
        <w:rPr>
          <w:rFonts w:hint="eastAsia" w:ascii="宋体" w:hAnsi="宋体" w:eastAsia="宋体" w:cs="宋体"/>
          <w:color w:val="auto"/>
          <w:highlight w:val="none"/>
        </w:rPr>
        <w:t>）投标人违反招标文件规定的其他情形。</w:t>
      </w:r>
    </w:p>
    <w:p>
      <w:pPr>
        <w:pStyle w:val="2"/>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三、本保函为不可撤销、不可转让的见索即付独立保函。本保函有效期自开立之日起至投标有效期届满之日后的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日。投标有效期延长的，本保函有效期相应顺延，最迟不超过</w:t>
      </w:r>
      <w:r>
        <w:rPr>
          <w:rFonts w:hint="eastAsia" w:ascii="宋体" w:hAnsi="宋体" w:eastAsia="宋体" w:cs="宋体"/>
          <w:color w:val="auto"/>
          <w:highlight w:val="none"/>
          <w:u w:val="single"/>
          <w:lang w:val="en-US"/>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lang w:val="en-US"/>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lang w:val="en-US"/>
        </w:rPr>
        <w:t xml:space="preserve">    </w:t>
      </w:r>
      <w:r>
        <w:rPr>
          <w:rFonts w:hint="eastAsia" w:ascii="宋体" w:hAnsi="宋体" w:eastAsia="宋体" w:cs="宋体"/>
          <w:color w:val="auto"/>
          <w:highlight w:val="none"/>
        </w:rPr>
        <w:t>日 。</w:t>
      </w:r>
    </w:p>
    <w:p>
      <w:pPr>
        <w:pStyle w:val="2"/>
        <w:tabs>
          <w:tab w:val="left" w:pos="6935"/>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四、我方承诺，在收到受益人发来的书面付款通知后的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日内无条件支付，前述书面付款通知即为付款要求之单据，且应满足以下要求：</w:t>
      </w:r>
    </w:p>
    <w:p>
      <w:pPr>
        <w:pStyle w:val="2"/>
        <w:tabs>
          <w:tab w:val="left" w:pos="6935"/>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rPr>
        <w:t>1</w:t>
      </w:r>
      <w:r>
        <w:rPr>
          <w:rFonts w:hint="eastAsia" w:ascii="宋体" w:hAnsi="宋体" w:eastAsia="宋体" w:cs="宋体"/>
          <w:color w:val="auto"/>
          <w:highlight w:val="none"/>
        </w:rPr>
        <w:t>）付款通知到达的日期在本保函的有效期内；</w:t>
      </w:r>
    </w:p>
    <w:p>
      <w:pPr>
        <w:pStyle w:val="2"/>
        <w:tabs>
          <w:tab w:val="left" w:pos="6935"/>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rPr>
        <w:t>2</w:t>
      </w:r>
      <w:r>
        <w:rPr>
          <w:rFonts w:hint="eastAsia" w:ascii="宋体" w:hAnsi="宋体" w:eastAsia="宋体" w:cs="宋体"/>
          <w:color w:val="auto"/>
          <w:highlight w:val="none"/>
        </w:rPr>
        <w:t>）载明要求支付的金额；</w:t>
      </w:r>
    </w:p>
    <w:p>
      <w:pPr>
        <w:pStyle w:val="2"/>
        <w:tabs>
          <w:tab w:val="left" w:pos="6935"/>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rPr>
        <w:t>3</w:t>
      </w:r>
      <w:r>
        <w:rPr>
          <w:rFonts w:hint="eastAsia" w:ascii="宋体" w:hAnsi="宋体" w:eastAsia="宋体" w:cs="宋体"/>
          <w:color w:val="auto"/>
          <w:highlight w:val="none"/>
        </w:rPr>
        <w:t>）载明申请人违反招投标文件规定的义务内容和具体条款；</w:t>
      </w:r>
    </w:p>
    <w:p>
      <w:pPr>
        <w:pStyle w:val="2"/>
        <w:tabs>
          <w:tab w:val="left" w:pos="6935"/>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rPr>
        <w:t>4</w:t>
      </w:r>
      <w:r>
        <w:rPr>
          <w:rFonts w:hint="eastAsia" w:ascii="宋体" w:hAnsi="宋体" w:eastAsia="宋体" w:cs="宋体"/>
          <w:color w:val="auto"/>
          <w:highlight w:val="none"/>
        </w:rPr>
        <w:t>）声明不存在招标文件规定或我国法律规定免除申请人或我方支付责任的情形；</w:t>
      </w:r>
    </w:p>
    <w:p>
      <w:pPr>
        <w:pStyle w:val="2"/>
        <w:tabs>
          <w:tab w:val="left" w:pos="6935"/>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rPr>
        <w:t>5</w:t>
      </w:r>
      <w:r>
        <w:rPr>
          <w:rFonts w:hint="eastAsia" w:ascii="宋体" w:hAnsi="宋体" w:eastAsia="宋体" w:cs="宋体"/>
          <w:color w:val="auto"/>
          <w:highlight w:val="none"/>
        </w:rPr>
        <w:t>）书面付款通知应在本保函有效期内到达的地址是：</w:t>
      </w:r>
      <w:r>
        <w:rPr>
          <w:rFonts w:hint="eastAsia" w:ascii="宋体" w:hAnsi="宋体" w:eastAsia="宋体" w:cs="宋体"/>
          <w:color w:val="auto"/>
          <w:highlight w:val="none"/>
          <w:u w:val="single"/>
          <w:lang w:val="en-US"/>
        </w:rPr>
        <w:t xml:space="preserve">             </w:t>
      </w:r>
      <w:r>
        <w:rPr>
          <w:rFonts w:hint="eastAsia" w:ascii="宋体" w:hAnsi="宋体" w:eastAsia="宋体" w:cs="宋体"/>
          <w:color w:val="auto"/>
          <w:highlight w:val="none"/>
        </w:rPr>
        <w:t>。</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受益人发出的书面付款通知应由其为鉴明受益人法定代表人（负责人）或授权代理人签字并加盖公章。</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五、本保函项下的权利不得转让，不得设定担保。贵方未经我方书面同意转让本保函或其项下任何权利，对我方不发生法律效力。</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六、本保函项下的基础交易不成立、不生效、无效、被撤销、被解除，不影响本保函的独立有效。</w:t>
      </w:r>
    </w:p>
    <w:p>
      <w:pPr>
        <w:pStyle w:val="2"/>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七、受益人应在本保函到期后的七日内将本保函正本退回我方注销，但是不论受益人是否按此要求将本保函正本退回我方，我方在本保函项下的义务和责任均在保函有效期到期后自动消灭。</w:t>
      </w:r>
    </w:p>
    <w:p>
      <w:pPr>
        <w:pStyle w:val="2"/>
        <w:tabs>
          <w:tab w:val="left" w:pos="1061"/>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八、本保函适用的法律为中华人民共和国法律， 争议裁判管辖地为中华人民共和国</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w:t>
      </w:r>
    </w:p>
    <w:p>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九、本保函自我方法定代表人或授权代表签字并加盖公章之日起生效。</w:t>
      </w:r>
    </w:p>
    <w:p>
      <w:pPr>
        <w:pStyle w:val="2"/>
        <w:tabs>
          <w:tab w:val="left" w:pos="5742"/>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开 立 人：</w:t>
      </w:r>
      <w:r>
        <w:rPr>
          <w:rFonts w:hint="eastAsia" w:ascii="宋体" w:hAnsi="宋体" w:eastAsia="宋体" w:cs="宋体"/>
          <w:color w:val="auto"/>
          <w:highlight w:val="none"/>
        </w:rPr>
        <w:tab/>
      </w:r>
      <w:r>
        <w:rPr>
          <w:rFonts w:hint="eastAsia" w:ascii="宋体" w:hAnsi="宋体" w:eastAsia="宋体" w:cs="宋体"/>
          <w:color w:val="auto"/>
          <w:highlight w:val="none"/>
        </w:rPr>
        <w:t>（公章）</w:t>
      </w:r>
    </w:p>
    <w:p>
      <w:pPr>
        <w:pStyle w:val="2"/>
        <w:tabs>
          <w:tab w:val="left" w:pos="1421"/>
          <w:tab w:val="left" w:pos="5742"/>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法定代表人（或授权代表） ：</w:t>
      </w:r>
      <w:r>
        <w:rPr>
          <w:rFonts w:hint="eastAsia" w:ascii="宋体" w:hAnsi="宋体" w:eastAsia="宋体" w:cs="宋体"/>
          <w:color w:val="auto"/>
          <w:highlight w:val="none"/>
        </w:rPr>
        <w:tab/>
      </w:r>
      <w:r>
        <w:rPr>
          <w:rFonts w:hint="eastAsia" w:ascii="宋体" w:hAnsi="宋体" w:eastAsia="宋体" w:cs="宋体"/>
          <w:color w:val="auto"/>
          <w:highlight w:val="none"/>
        </w:rPr>
        <w:t xml:space="preserve">（签字） </w:t>
      </w:r>
    </w:p>
    <w:p>
      <w:pPr>
        <w:pStyle w:val="2"/>
        <w:tabs>
          <w:tab w:val="left" w:pos="1421"/>
          <w:tab w:val="left" w:pos="5742"/>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地</w:t>
      </w:r>
      <w:r>
        <w:rPr>
          <w:rFonts w:hint="eastAsia" w:ascii="宋体" w:hAnsi="宋体" w:eastAsia="宋体" w:cs="宋体"/>
          <w:color w:val="auto"/>
          <w:highlight w:val="none"/>
        </w:rPr>
        <w:tab/>
      </w:r>
      <w:r>
        <w:rPr>
          <w:rFonts w:hint="eastAsia" w:ascii="宋体" w:hAnsi="宋体" w:eastAsia="宋体" w:cs="宋体"/>
          <w:color w:val="auto"/>
          <w:highlight w:val="none"/>
        </w:rPr>
        <w:t>址：</w:t>
      </w:r>
    </w:p>
    <w:p>
      <w:pPr>
        <w:pStyle w:val="2"/>
        <w:tabs>
          <w:tab w:val="left" w:pos="1421"/>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邮政编码：</w:t>
      </w:r>
    </w:p>
    <w:p>
      <w:pPr>
        <w:pStyle w:val="2"/>
        <w:tabs>
          <w:tab w:val="left" w:pos="1421"/>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电</w:t>
      </w:r>
      <w:r>
        <w:rPr>
          <w:rFonts w:hint="eastAsia" w:ascii="宋体" w:hAnsi="宋体" w:eastAsia="宋体" w:cs="宋体"/>
          <w:color w:val="auto"/>
          <w:highlight w:val="none"/>
          <w:lang w:val="en-US"/>
        </w:rPr>
        <w:t xml:space="preserve">    </w:t>
      </w:r>
      <w:r>
        <w:rPr>
          <w:rFonts w:hint="eastAsia" w:ascii="宋体" w:hAnsi="宋体" w:eastAsia="宋体" w:cs="宋体"/>
          <w:color w:val="auto"/>
          <w:highlight w:val="none"/>
        </w:rPr>
        <w:t>话：</w:t>
      </w:r>
    </w:p>
    <w:p>
      <w:pPr>
        <w:pStyle w:val="2"/>
        <w:tabs>
          <w:tab w:val="left" w:pos="1421"/>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传</w:t>
      </w:r>
      <w:r>
        <w:rPr>
          <w:rFonts w:hint="eastAsia" w:ascii="宋体" w:hAnsi="宋体" w:eastAsia="宋体" w:cs="宋体"/>
          <w:color w:val="auto"/>
          <w:highlight w:val="none"/>
          <w:lang w:val="en-US"/>
        </w:rPr>
        <w:t xml:space="preserve">    </w:t>
      </w:r>
      <w:r>
        <w:rPr>
          <w:rFonts w:hint="eastAsia" w:ascii="宋体" w:hAnsi="宋体" w:eastAsia="宋体" w:cs="宋体"/>
          <w:color w:val="auto"/>
          <w:highlight w:val="none"/>
        </w:rPr>
        <w:t>真：</w:t>
      </w:r>
    </w:p>
    <w:p>
      <w:pPr>
        <w:pStyle w:val="2"/>
        <w:tabs>
          <w:tab w:val="left" w:pos="2621"/>
          <w:tab w:val="left" w:pos="3581"/>
          <w:tab w:val="left" w:pos="4181"/>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开立时间：</w:t>
      </w:r>
      <w:r>
        <w:rPr>
          <w:rFonts w:hint="eastAsia" w:ascii="宋体" w:hAnsi="宋体" w:eastAsia="宋体" w:cs="宋体"/>
          <w:color w:val="auto"/>
          <w:highlight w:val="none"/>
        </w:rPr>
        <w:tab/>
      </w:r>
      <w:r>
        <w:rPr>
          <w:rFonts w:hint="eastAsia" w:ascii="宋体" w:hAnsi="宋体" w:eastAsia="宋体" w:cs="宋体"/>
          <w:color w:val="auto"/>
          <w:highlight w:val="none"/>
        </w:rPr>
        <w:t>年</w:t>
      </w:r>
      <w:r>
        <w:rPr>
          <w:rFonts w:hint="eastAsia" w:ascii="宋体" w:hAnsi="宋体" w:eastAsia="宋体" w:cs="宋体"/>
          <w:color w:val="auto"/>
          <w:highlight w:val="none"/>
        </w:rPr>
        <w:tab/>
      </w:r>
      <w:r>
        <w:rPr>
          <w:rFonts w:hint="eastAsia" w:ascii="宋体" w:hAnsi="宋体" w:eastAsia="宋体" w:cs="宋体"/>
          <w:color w:val="auto"/>
          <w:highlight w:val="none"/>
        </w:rPr>
        <w:t>月</w:t>
      </w:r>
      <w:r>
        <w:rPr>
          <w:rFonts w:hint="eastAsia" w:ascii="宋体" w:hAnsi="宋体" w:eastAsia="宋体" w:cs="宋体"/>
          <w:color w:val="auto"/>
          <w:highlight w:val="none"/>
        </w:rPr>
        <w:tab/>
      </w:r>
      <w:r>
        <w:rPr>
          <w:rFonts w:hint="eastAsia" w:ascii="宋体" w:hAnsi="宋体" w:eastAsia="宋体" w:cs="宋体"/>
          <w:color w:val="auto"/>
          <w:highlight w:val="none"/>
        </w:rPr>
        <w:t>日</w:t>
      </w:r>
    </w:p>
    <w:p>
      <w:pPr>
        <w:spacing w:line="360" w:lineRule="auto"/>
        <w:ind w:firstLine="440" w:firstLineChars="200"/>
        <w:rPr>
          <w:rFonts w:hint="eastAsia" w:ascii="宋体" w:hAnsi="宋体" w:eastAsia="宋体" w:cs="宋体"/>
          <w:color w:val="auto"/>
          <w:highlight w:val="none"/>
        </w:rPr>
        <w:sectPr>
          <w:pgSz w:w="11905" w:h="16838"/>
          <w:pgMar w:top="1474" w:right="1474" w:bottom="1474" w:left="1474" w:header="799" w:footer="907" w:gutter="0"/>
          <w:cols w:space="0" w:num="1"/>
          <w:rtlGutter w:val="0"/>
          <w:docGrid w:linePitch="326" w:charSpace="0"/>
        </w:sectPr>
      </w:pPr>
    </w:p>
    <w:p>
      <w:pPr>
        <w:spacing w:before="91" w:line="185" w:lineRule="auto"/>
        <w:jc w:val="center"/>
        <w:rPr>
          <w:rFonts w:hint="eastAsia" w:ascii="宋体" w:hAnsi="宋体" w:eastAsia="宋体" w:cs="宋体"/>
          <w:color w:val="auto"/>
          <w:sz w:val="28"/>
          <w:szCs w:val="28"/>
          <w:highlight w:val="none"/>
        </w:rPr>
      </w:pPr>
      <w:bookmarkStart w:id="85" w:name="二、商务标"/>
      <w:bookmarkEnd w:id="85"/>
      <w:r>
        <w:rPr>
          <w:rFonts w:hint="eastAsia" w:ascii="宋体" w:hAnsi="宋体" w:eastAsia="宋体" w:cs="宋体"/>
          <w:b/>
          <w:color w:val="auto"/>
          <w:sz w:val="28"/>
          <w:highlight w:val="none"/>
        </w:rPr>
        <w:t>（</w:t>
      </w:r>
      <w:r>
        <w:rPr>
          <w:rFonts w:hint="eastAsia" w:ascii="宋体" w:hAnsi="宋体" w:eastAsia="宋体" w:cs="宋体"/>
          <w:b/>
          <w:color w:val="auto"/>
          <w:sz w:val="28"/>
          <w:highlight w:val="none"/>
          <w:lang w:val="en-US" w:eastAsia="zh-CN"/>
        </w:rPr>
        <w:t>九</w:t>
      </w:r>
      <w:r>
        <w:rPr>
          <w:rFonts w:hint="eastAsia" w:ascii="宋体" w:hAnsi="宋体" w:eastAsia="宋体" w:cs="宋体"/>
          <w:b/>
          <w:color w:val="auto"/>
          <w:sz w:val="28"/>
          <w:highlight w:val="none"/>
        </w:rPr>
        <w:t>）</w:t>
      </w:r>
      <w:r>
        <w:rPr>
          <w:rFonts w:hint="eastAsia" w:ascii="宋体" w:hAnsi="宋体" w:eastAsia="宋体" w:cs="宋体"/>
          <w:color w:val="auto"/>
          <w:spacing w:val="-1"/>
          <w:sz w:val="28"/>
          <w:szCs w:val="28"/>
          <w:highlight w:val="none"/>
          <w14:textOutline w14:w="5094" w14:cap="flat" w14:cmpd="sng">
            <w14:solidFill>
              <w14:srgbClr w14:val="000000"/>
            </w14:solidFill>
            <w14:prstDash w14:val="solid"/>
            <w14:miter w14:val="0"/>
          </w14:textOutline>
        </w:rPr>
        <w:t>诚信承诺书</w:t>
      </w:r>
    </w:p>
    <w:p>
      <w:pPr>
        <w:spacing w:line="320" w:lineRule="auto"/>
        <w:rPr>
          <w:rFonts w:hint="eastAsia" w:ascii="宋体" w:hAnsi="宋体" w:eastAsia="宋体" w:cs="宋体"/>
          <w:color w:val="auto"/>
          <w:sz w:val="21"/>
          <w:highlight w:val="none"/>
        </w:rPr>
      </w:pPr>
    </w:p>
    <w:p>
      <w:pPr>
        <w:spacing w:before="78" w:line="185" w:lineRule="auto"/>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致招标人：</w:t>
      </w:r>
    </w:p>
    <w:p>
      <w:pPr>
        <w:spacing w:before="249" w:line="185" w:lineRule="auto"/>
        <w:ind w:firstLine="48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我单位在参加</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4"/>
          <w:sz w:val="24"/>
          <w:szCs w:val="24"/>
          <w:highlight w:val="none"/>
        </w:rPr>
        <w:t>项目的交易活动过程中，郑重承诺如下：</w:t>
      </w:r>
    </w:p>
    <w:p>
      <w:pPr>
        <w:spacing w:before="136" w:line="185" w:lineRule="auto"/>
        <w:ind w:firstLine="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一、确保提供的一切材料均为真实、合法和有效。</w:t>
      </w:r>
    </w:p>
    <w:p>
      <w:pPr>
        <w:spacing w:before="165" w:line="275" w:lineRule="auto"/>
        <w:ind w:left="5" w:right="83" w:firstLine="479"/>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二、不受让、租借他人资格、资质证书，不以他人名义投标；不以伪造、变造等其他方式</w:t>
      </w:r>
      <w:r>
        <w:rPr>
          <w:rFonts w:hint="eastAsia" w:ascii="宋体" w:hAnsi="宋体" w:eastAsia="宋体" w:cs="宋体"/>
          <w:color w:val="auto"/>
          <w:spacing w:val="-5"/>
          <w:sz w:val="24"/>
          <w:szCs w:val="24"/>
          <w:highlight w:val="none"/>
        </w:rPr>
        <w:t>弄虚作假，骗取中标。</w:t>
      </w:r>
    </w:p>
    <w:p>
      <w:pPr>
        <w:spacing w:before="47" w:line="185"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三、不与招标人、招标代理机构或其他投标人串通投标。</w:t>
      </w:r>
    </w:p>
    <w:p>
      <w:pPr>
        <w:spacing w:before="168" w:line="185" w:lineRule="auto"/>
        <w:ind w:firstLine="50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四、不以向招标人、评标委员会成员或其他相关人员行贿方式牟取中标。</w:t>
      </w:r>
    </w:p>
    <w:p>
      <w:pPr>
        <w:spacing w:before="166" w:line="275" w:lineRule="auto"/>
        <w:ind w:right="80" w:firstLine="483"/>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五、在行使异议、质疑、投诉权利时，提供真实、合法、充分的材料，不捏造事实、伪造</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材料或以其他非法手段取得证明材料。</w:t>
      </w:r>
    </w:p>
    <w:p>
      <w:pPr>
        <w:spacing w:before="48" w:line="185" w:lineRule="auto"/>
        <w:ind w:firstLine="48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六、中标后，及时办理中标相关手续，并按照交易文件的约定，与招标人依法签订合同。</w:t>
      </w:r>
    </w:p>
    <w:p>
      <w:pPr>
        <w:spacing w:before="166" w:line="275"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七、在履约过程中，</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17"/>
          <w:sz w:val="24"/>
          <w:szCs w:val="24"/>
          <w:highlight w:val="none"/>
        </w:rPr>
        <w:t>严格按照交易文件及合同约定履行义务；</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7"/>
          <w:sz w:val="24"/>
          <w:szCs w:val="24"/>
          <w:highlight w:val="none"/>
        </w:rPr>
        <w:t>除法律法规允许外，</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7"/>
          <w:sz w:val="24"/>
          <w:szCs w:val="24"/>
          <w:highlight w:val="none"/>
        </w:rPr>
        <w:t>在价格、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质量、工期（供货期）、人员组成等方面不做任何有悖于交易文件实质性内容行为。</w:t>
      </w:r>
    </w:p>
    <w:p>
      <w:pPr>
        <w:spacing w:before="48" w:line="276" w:lineRule="auto"/>
        <w:ind w:right="81" w:firstLine="484"/>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八、</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0"/>
          <w:sz w:val="24"/>
          <w:szCs w:val="24"/>
          <w:highlight w:val="none"/>
        </w:rPr>
        <w:t>至投标截止之日，我公司及本项目拟派经理不在受到招投标行政监管部门（或政府行</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业监管部门）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9"/>
          <w:sz w:val="24"/>
          <w:szCs w:val="24"/>
          <w:highlight w:val="none"/>
        </w:rPr>
        <w:t>限制投标的行政处罚期内，不在政府行业监管部门限制在本市承揽业务的行政处</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理期内。</w:t>
      </w:r>
    </w:p>
    <w:p>
      <w:pPr>
        <w:spacing w:before="47" w:line="275" w:lineRule="auto"/>
        <w:ind w:left="1" w:right="81" w:firstLine="484"/>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九、至投标截止日，</w:t>
      </w:r>
      <w:r>
        <w:rPr>
          <w:rFonts w:hint="eastAsia" w:ascii="宋体" w:hAnsi="宋体" w:eastAsia="宋体" w:cs="宋体"/>
          <w:color w:val="auto"/>
          <w:spacing w:val="-10"/>
          <w:sz w:val="24"/>
          <w:szCs w:val="24"/>
          <w:highlight w:val="none"/>
          <w14:textOutline w14:w="4354" w14:cap="flat" w14:cmpd="sng">
            <w14:solidFill>
              <w14:srgbClr w14:val="000000"/>
            </w14:solidFill>
            <w14:prstDash w14:val="solid"/>
            <w14:miter w14:val="0"/>
          </w14:textOutline>
        </w:rPr>
        <w:t>我公司及拟派项目经理（项目负责人）</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0"/>
          <w:sz w:val="24"/>
          <w:szCs w:val="24"/>
          <w:highlight w:val="none"/>
          <w14:textOutline w14:w="4354" w14:cap="flat" w14:cmpd="sng">
            <w14:solidFill>
              <w14:srgbClr w14:val="000000"/>
            </w14:solidFill>
            <w14:prstDash w14:val="solid"/>
            <w14:miter w14:val="0"/>
          </w14:textOutline>
        </w:rPr>
        <w:t>未被人民法院列入失信被执行</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14:textOutline w14:w="4354" w14:cap="flat" w14:cmpd="sng">
            <w14:solidFill>
              <w14:srgbClr w14:val="000000"/>
            </w14:solidFill>
            <w14:prstDash w14:val="solid"/>
            <w14:miter w14:val="0"/>
          </w14:textOutline>
        </w:rPr>
        <w:t>人、未被人力资源社会保障行政部门列入拖欠农民工工资“黑名单”、</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7"/>
          <w:sz w:val="24"/>
          <w:szCs w:val="24"/>
          <w:highlight w:val="none"/>
        </w:rPr>
        <w:t>我公司近</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7"/>
          <w:sz w:val="24"/>
          <w:szCs w:val="24"/>
          <w:highlight w:val="none"/>
        </w:rPr>
        <w:t>3</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7"/>
          <w:sz w:val="24"/>
          <w:szCs w:val="24"/>
          <w:highlight w:val="none"/>
        </w:rPr>
        <w:t>年内无行贿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犯罪记录。</w:t>
      </w:r>
    </w:p>
    <w:p>
      <w:pPr>
        <w:spacing w:before="48" w:line="276" w:lineRule="auto"/>
        <w:ind w:right="82" w:firstLine="507"/>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以上内容我单位已仔细阅读，若有违反承诺内容的行为，自愿接受限制投标资格、记入不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良行为记录、取消中标资格、不予退还投标保证金等处罚或处理；给招标人或其他投标人造成</w:t>
      </w:r>
      <w:r>
        <w:rPr>
          <w:rFonts w:hint="eastAsia" w:ascii="宋体" w:hAnsi="宋体" w:eastAsia="宋体" w:cs="宋体"/>
          <w:color w:val="auto"/>
          <w:spacing w:val="-3"/>
          <w:sz w:val="24"/>
          <w:szCs w:val="24"/>
          <w:highlight w:val="none"/>
        </w:rPr>
        <w:t>损失的，自愿依法承担赔偿责任。</w:t>
      </w:r>
    </w:p>
    <w:p>
      <w:pPr>
        <w:spacing w:before="157" w:line="185" w:lineRule="auto"/>
        <w:ind w:firstLine="483"/>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投标单位</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19"/>
          <w:sz w:val="24"/>
          <w:szCs w:val="24"/>
          <w:highlight w:val="none"/>
          <w:u w:val="single" w:color="auto"/>
        </w:rPr>
        <w:t>（</w:t>
      </w:r>
      <w:r>
        <w:rPr>
          <w:rFonts w:hint="eastAsia" w:ascii="宋体" w:hAnsi="宋体" w:eastAsia="宋体" w:cs="宋体"/>
          <w:color w:val="auto"/>
          <w:spacing w:val="-17"/>
          <w:sz w:val="24"/>
          <w:szCs w:val="24"/>
          <w:highlight w:val="none"/>
          <w:u w:val="single" w:color="auto"/>
        </w:rPr>
        <w:t>盖章</w:t>
      </w:r>
      <w:r>
        <w:rPr>
          <w:rFonts w:hint="eastAsia" w:ascii="宋体" w:hAnsi="宋体" w:eastAsia="宋体" w:cs="宋体"/>
          <w:color w:val="auto"/>
          <w:spacing w:val="-19"/>
          <w:sz w:val="24"/>
          <w:szCs w:val="24"/>
          <w:highlight w:val="none"/>
          <w:u w:val="single" w:color="auto"/>
        </w:rPr>
        <w:t>）（</w:t>
      </w:r>
      <w:r>
        <w:rPr>
          <w:rFonts w:hint="eastAsia" w:ascii="宋体" w:hAnsi="宋体" w:eastAsia="宋体" w:cs="宋体"/>
          <w:color w:val="auto"/>
          <w:spacing w:val="-17"/>
          <w:sz w:val="24"/>
          <w:szCs w:val="24"/>
          <w:highlight w:val="none"/>
          <w:u w:val="single" w:color="auto"/>
        </w:rPr>
        <w:t>电子投标文件中须盖单位电子印章）</w:t>
      </w:r>
      <w:r>
        <w:rPr>
          <w:rFonts w:hint="eastAsia" w:ascii="宋体" w:hAnsi="宋体" w:eastAsia="宋体" w:cs="宋体"/>
          <w:color w:val="auto"/>
          <w:spacing w:val="4"/>
          <w:sz w:val="24"/>
          <w:szCs w:val="24"/>
          <w:highlight w:val="none"/>
          <w:u w:val="single" w:color="auto"/>
        </w:rPr>
        <w:t xml:space="preserve">  </w:t>
      </w:r>
    </w:p>
    <w:p>
      <w:pPr>
        <w:spacing w:line="288" w:lineRule="auto"/>
        <w:rPr>
          <w:rFonts w:hint="eastAsia" w:ascii="宋体" w:hAnsi="宋体" w:eastAsia="宋体" w:cs="宋体"/>
          <w:color w:val="auto"/>
          <w:sz w:val="21"/>
          <w:highlight w:val="none"/>
        </w:rPr>
      </w:pPr>
    </w:p>
    <w:p>
      <w:pPr>
        <w:spacing w:line="288" w:lineRule="auto"/>
        <w:rPr>
          <w:rFonts w:hint="eastAsia" w:ascii="宋体" w:hAnsi="宋体" w:eastAsia="宋体" w:cs="宋体"/>
          <w:color w:val="auto"/>
          <w:sz w:val="21"/>
          <w:highlight w:val="none"/>
        </w:rPr>
      </w:pPr>
    </w:p>
    <w:p>
      <w:pPr>
        <w:spacing w:before="79" w:line="185"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3"/>
          <w:sz w:val="24"/>
          <w:szCs w:val="24"/>
          <w:highlight w:val="none"/>
          <w:u w:val="single" w:color="auto"/>
        </w:rPr>
        <w:t xml:space="preserve">               </w:t>
      </w:r>
      <w:r>
        <w:rPr>
          <w:rFonts w:hint="eastAsia" w:ascii="宋体" w:hAnsi="宋体" w:eastAsia="宋体" w:cs="宋体"/>
          <w:color w:val="auto"/>
          <w:spacing w:val="-11"/>
          <w:sz w:val="24"/>
          <w:szCs w:val="24"/>
          <w:highlight w:val="none"/>
          <w:u w:val="single" w:color="auto"/>
        </w:rPr>
        <w:t>（</w:t>
      </w:r>
      <w:r>
        <w:rPr>
          <w:rFonts w:hint="eastAsia" w:ascii="宋体" w:hAnsi="宋体" w:eastAsia="宋体" w:cs="宋体"/>
          <w:color w:val="auto"/>
          <w:spacing w:val="-12"/>
          <w:sz w:val="24"/>
          <w:szCs w:val="24"/>
          <w:highlight w:val="none"/>
          <w:u w:val="single" w:color="auto"/>
        </w:rPr>
        <w:t>签名或盖章</w:t>
      </w:r>
      <w:r>
        <w:rPr>
          <w:rFonts w:hint="eastAsia" w:ascii="宋体" w:hAnsi="宋体" w:eastAsia="宋体" w:cs="宋体"/>
          <w:color w:val="auto"/>
          <w:spacing w:val="-11"/>
          <w:sz w:val="24"/>
          <w:szCs w:val="24"/>
          <w:highlight w:val="none"/>
          <w:u w:val="single" w:color="auto"/>
        </w:rPr>
        <w:t>）（</w:t>
      </w:r>
      <w:r>
        <w:rPr>
          <w:rFonts w:hint="eastAsia" w:ascii="宋体" w:hAnsi="宋体" w:eastAsia="宋体" w:cs="宋体"/>
          <w:color w:val="auto"/>
          <w:spacing w:val="-12"/>
          <w:sz w:val="24"/>
          <w:szCs w:val="24"/>
          <w:highlight w:val="none"/>
          <w:u w:val="single" w:color="auto"/>
        </w:rPr>
        <w:t>电子投标文件中须盖电子印章）</w:t>
      </w:r>
    </w:p>
    <w:p>
      <w:pPr>
        <w:tabs>
          <w:tab w:val="left" w:pos="7477"/>
        </w:tabs>
        <w:spacing w:before="78" w:line="185" w:lineRule="auto"/>
        <w:ind w:firstLine="5994" w:firstLineChars="2700"/>
        <w:rPr>
          <w:rFonts w:hint="eastAsia" w:ascii="宋体" w:hAnsi="宋体" w:eastAsia="宋体" w:cs="宋体"/>
          <w:color w:val="auto"/>
          <w:spacing w:val="-9"/>
          <w:sz w:val="24"/>
          <w:szCs w:val="24"/>
          <w:highlight w:val="none"/>
          <w:u w:val="single"/>
          <w:lang w:val="en-US" w:eastAsia="zh-CN"/>
          <w14:textOutline w14:w="4354" w14:cap="flat" w14:cmpd="sng">
            <w14:solidFill>
              <w14:srgbClr w14:val="000000"/>
            </w14:solidFill>
            <w14:prstDash w14:val="solid"/>
            <w14:miter w14:val="0"/>
          </w14:textOutline>
        </w:rPr>
      </w:pPr>
    </w:p>
    <w:p>
      <w:pPr>
        <w:spacing w:before="79" w:line="185" w:lineRule="auto"/>
        <w:ind w:firstLine="481"/>
        <w:jc w:val="right"/>
        <w:rPr>
          <w:rFonts w:hint="eastAsia" w:ascii="宋体" w:hAnsi="宋体" w:eastAsia="宋体" w:cs="宋体"/>
          <w:color w:val="auto"/>
          <w:spacing w:val="-11"/>
          <w:sz w:val="24"/>
          <w:szCs w:val="24"/>
          <w:highlight w:val="none"/>
          <w:u w:val="single" w:color="auto"/>
        </w:rPr>
      </w:pPr>
      <w:r>
        <w:rPr>
          <w:rFonts w:hint="eastAsia" w:ascii="宋体" w:hAnsi="宋体" w:eastAsia="宋体" w:cs="宋体"/>
          <w:color w:val="auto"/>
          <w:spacing w:val="-11"/>
          <w:sz w:val="24"/>
          <w:szCs w:val="24"/>
          <w:highlight w:val="none"/>
          <w:u w:val="single" w:color="auto"/>
          <w:lang w:val="en-US" w:eastAsia="zh-CN"/>
        </w:rPr>
        <w:t>2022</w:t>
      </w:r>
      <w:r>
        <w:rPr>
          <w:rFonts w:hint="eastAsia" w:ascii="宋体" w:hAnsi="宋体" w:eastAsia="宋体" w:cs="宋体"/>
          <w:color w:val="auto"/>
          <w:spacing w:val="-11"/>
          <w:sz w:val="24"/>
          <w:szCs w:val="24"/>
          <w:highlight w:val="none"/>
          <w:u w:val="single" w:color="auto"/>
        </w:rPr>
        <w:t>年        月     日</w:t>
      </w:r>
    </w:p>
    <w:p>
      <w:pPr>
        <w:pStyle w:val="6"/>
        <w:spacing w:line="488" w:lineRule="exact"/>
        <w:ind w:left="121" w:right="136"/>
        <w:jc w:val="right"/>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rPr>
          <w:rFonts w:hint="eastAsia" w:ascii="宋体" w:hAnsi="宋体" w:eastAsia="宋体" w:cs="宋体"/>
          <w:color w:val="auto"/>
          <w:highlight w:val="none"/>
        </w:rPr>
      </w:pPr>
    </w:p>
    <w:p>
      <w:pPr>
        <w:spacing w:before="91" w:line="185" w:lineRule="auto"/>
        <w:jc w:val="center"/>
        <w:rPr>
          <w:rFonts w:hint="eastAsia" w:ascii="宋体" w:hAnsi="宋体" w:eastAsia="宋体" w:cs="宋体"/>
          <w:color w:val="auto"/>
          <w:sz w:val="28"/>
          <w:szCs w:val="28"/>
          <w:highlight w:val="none"/>
        </w:rPr>
      </w:pPr>
      <w:r>
        <w:rPr>
          <w:rFonts w:hint="eastAsia" w:ascii="宋体" w:hAnsi="宋体" w:eastAsia="宋体" w:cs="宋体"/>
          <w:b/>
          <w:color w:val="auto"/>
          <w:sz w:val="28"/>
          <w:highlight w:val="none"/>
        </w:rPr>
        <w:t>（</w:t>
      </w:r>
      <w:r>
        <w:rPr>
          <w:rFonts w:hint="eastAsia" w:ascii="宋体" w:hAnsi="宋体" w:eastAsia="宋体" w:cs="宋体"/>
          <w:b/>
          <w:color w:val="auto"/>
          <w:sz w:val="28"/>
          <w:highlight w:val="none"/>
          <w:lang w:val="en-US" w:eastAsia="zh-CN"/>
        </w:rPr>
        <w:t>十</w:t>
      </w:r>
      <w:r>
        <w:rPr>
          <w:rFonts w:hint="eastAsia" w:ascii="宋体" w:hAnsi="宋体" w:eastAsia="宋体" w:cs="宋体"/>
          <w:b/>
          <w:color w:val="auto"/>
          <w:sz w:val="28"/>
          <w:highlight w:val="none"/>
        </w:rPr>
        <w:t>）</w:t>
      </w:r>
      <w:r>
        <w:rPr>
          <w:rFonts w:hint="eastAsia" w:ascii="宋体" w:hAnsi="宋体" w:eastAsia="宋体" w:cs="宋体"/>
          <w:color w:val="auto"/>
          <w:spacing w:val="-2"/>
          <w:sz w:val="28"/>
          <w:szCs w:val="28"/>
          <w:highlight w:val="none"/>
          <w14:textOutline w14:w="5094" w14:cap="flat" w14:cmpd="sng">
            <w14:solidFill>
              <w14:srgbClr w14:val="000000"/>
            </w14:solidFill>
            <w14:prstDash w14:val="solid"/>
            <w14:miter w14:val="0"/>
          </w14:textOutline>
        </w:rPr>
        <w:t>履约承诺书</w:t>
      </w:r>
    </w:p>
    <w:p>
      <w:pPr>
        <w:spacing w:line="259" w:lineRule="auto"/>
        <w:rPr>
          <w:rFonts w:hint="eastAsia" w:ascii="宋体" w:hAnsi="宋体" w:eastAsia="宋体" w:cs="宋体"/>
          <w:color w:val="auto"/>
          <w:sz w:val="21"/>
          <w:highlight w:val="none"/>
        </w:rPr>
      </w:pPr>
    </w:p>
    <w:p>
      <w:pPr>
        <w:spacing w:line="260" w:lineRule="auto"/>
        <w:rPr>
          <w:rFonts w:hint="eastAsia" w:ascii="宋体" w:hAnsi="宋体" w:eastAsia="宋体" w:cs="宋体"/>
          <w:color w:val="auto"/>
          <w:sz w:val="21"/>
          <w:highlight w:val="none"/>
        </w:rPr>
      </w:pPr>
    </w:p>
    <w:p>
      <w:pPr>
        <w:spacing w:line="260" w:lineRule="auto"/>
        <w:rPr>
          <w:rFonts w:hint="eastAsia" w:ascii="宋体" w:hAnsi="宋体" w:eastAsia="宋体" w:cs="宋体"/>
          <w:color w:val="auto"/>
          <w:sz w:val="21"/>
          <w:highlight w:val="none"/>
        </w:rPr>
      </w:pPr>
    </w:p>
    <w:p>
      <w:pPr>
        <w:spacing w:line="260" w:lineRule="auto"/>
        <w:rPr>
          <w:rFonts w:hint="eastAsia" w:ascii="宋体" w:hAnsi="宋体" w:eastAsia="宋体" w:cs="宋体"/>
          <w:color w:val="auto"/>
          <w:sz w:val="21"/>
          <w:highlight w:val="none"/>
        </w:rPr>
      </w:pPr>
    </w:p>
    <w:p>
      <w:pPr>
        <w:spacing w:line="260" w:lineRule="auto"/>
        <w:rPr>
          <w:rFonts w:hint="eastAsia" w:ascii="宋体" w:hAnsi="宋体" w:eastAsia="宋体" w:cs="宋体"/>
          <w:color w:val="auto"/>
          <w:sz w:val="21"/>
          <w:highlight w:val="none"/>
        </w:rPr>
      </w:pPr>
    </w:p>
    <w:p>
      <w:pPr>
        <w:tabs>
          <w:tab w:val="left" w:pos="2226"/>
        </w:tabs>
        <w:spacing w:before="79" w:line="667" w:lineRule="exact"/>
        <w:ind w:firstLine="410"/>
        <w:rPr>
          <w:rFonts w:hint="eastAsia" w:ascii="宋体" w:hAnsi="宋体" w:eastAsia="宋体" w:cs="宋体"/>
          <w:color w:val="auto"/>
          <w:sz w:val="24"/>
          <w:szCs w:val="24"/>
          <w:highlight w:val="none"/>
        </w:rPr>
      </w:pPr>
      <w:r>
        <w:rPr>
          <w:rFonts w:hint="eastAsia" w:ascii="宋体" w:hAnsi="宋体" w:eastAsia="宋体" w:cs="宋体"/>
          <w:color w:val="auto"/>
          <w:position w:val="32"/>
          <w:sz w:val="21"/>
          <w:szCs w:val="21"/>
          <w:highlight w:val="none"/>
          <w:u w:val="single" w:color="auto"/>
        </w:rPr>
        <w:tab/>
      </w:r>
      <w:r>
        <w:rPr>
          <w:rFonts w:hint="eastAsia" w:ascii="宋体" w:hAnsi="宋体" w:eastAsia="宋体" w:cs="宋体"/>
          <w:color w:val="auto"/>
          <w:spacing w:val="-24"/>
          <w:position w:val="32"/>
          <w:sz w:val="24"/>
          <w:szCs w:val="24"/>
          <w:highlight w:val="none"/>
        </w:rPr>
        <w:t>（招标人名称</w:t>
      </w:r>
      <w:r>
        <w:rPr>
          <w:rFonts w:hint="eastAsia" w:ascii="宋体" w:hAnsi="宋体" w:eastAsia="宋体" w:cs="宋体"/>
          <w:color w:val="auto"/>
          <w:spacing w:val="-12"/>
          <w:position w:val="32"/>
          <w:sz w:val="24"/>
          <w:szCs w:val="24"/>
          <w:highlight w:val="none"/>
        </w:rPr>
        <w:t>）：</w:t>
      </w:r>
    </w:p>
    <w:p>
      <w:pPr>
        <w:spacing w:line="204"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我单位承诺如下：</w:t>
      </w:r>
    </w:p>
    <w:p>
      <w:pPr>
        <w:spacing w:line="284" w:lineRule="auto"/>
        <w:rPr>
          <w:rFonts w:hint="eastAsia" w:ascii="宋体" w:hAnsi="宋体" w:eastAsia="宋体" w:cs="宋体"/>
          <w:color w:val="auto"/>
          <w:sz w:val="21"/>
          <w:highlight w:val="none"/>
        </w:rPr>
      </w:pPr>
    </w:p>
    <w:p>
      <w:pPr>
        <w:spacing w:before="78" w:line="185" w:lineRule="auto"/>
        <w:ind w:firstLine="49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1、如我单位中标，将无条件配合甲方进行电梯试运行；</w:t>
      </w:r>
    </w:p>
    <w:p>
      <w:pPr>
        <w:spacing w:line="307" w:lineRule="auto"/>
        <w:rPr>
          <w:rFonts w:hint="eastAsia" w:ascii="宋体" w:hAnsi="宋体" w:eastAsia="宋体" w:cs="宋体"/>
          <w:color w:val="auto"/>
          <w:sz w:val="21"/>
          <w:highlight w:val="none"/>
        </w:rPr>
      </w:pPr>
    </w:p>
    <w:p>
      <w:pPr>
        <w:spacing w:before="78" w:line="358" w:lineRule="auto"/>
        <w:ind w:right="103" w:firstLine="48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2、如我单位中标，并指派我公司</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rPr>
        <w:t>为项目负责人、</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8"/>
          <w:sz w:val="24"/>
          <w:szCs w:val="24"/>
          <w:highlight w:val="none"/>
        </w:rPr>
        <w:t>为安装负责人，且保</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2"/>
          <w:sz w:val="24"/>
          <w:szCs w:val="24"/>
          <w:highlight w:val="none"/>
        </w:rPr>
        <w:t>证项目负责人和安装负责人在项目实施过程中每月到岗履职不少于</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28</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2"/>
          <w:sz w:val="24"/>
          <w:szCs w:val="24"/>
          <w:highlight w:val="none"/>
        </w:rPr>
        <w:t>天。</w:t>
      </w:r>
    </w:p>
    <w:p>
      <w:pPr>
        <w:spacing w:before="202" w:line="360" w:lineRule="auto"/>
        <w:ind w:right="66" w:firstLine="507"/>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以上承诺如有虚假或未兑现，我单位愿意按照弄虚作假情形承担相应责任，</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11"/>
          <w:sz w:val="24"/>
          <w:szCs w:val="24"/>
          <w:highlight w:val="none"/>
        </w:rPr>
        <w:t>包括且不限于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被扣除全部履约保证金。</w:t>
      </w:r>
    </w:p>
    <w:p>
      <w:pPr>
        <w:spacing w:line="346" w:lineRule="auto"/>
        <w:rPr>
          <w:rFonts w:hint="eastAsia" w:ascii="宋体" w:hAnsi="宋体" w:eastAsia="宋体" w:cs="宋体"/>
          <w:color w:val="auto"/>
          <w:sz w:val="21"/>
          <w:highlight w:val="none"/>
        </w:rPr>
      </w:pPr>
    </w:p>
    <w:p>
      <w:pPr>
        <w:spacing w:line="347" w:lineRule="auto"/>
        <w:rPr>
          <w:rFonts w:hint="eastAsia" w:ascii="宋体" w:hAnsi="宋体" w:eastAsia="宋体" w:cs="宋体"/>
          <w:color w:val="auto"/>
          <w:sz w:val="21"/>
          <w:highlight w:val="none"/>
        </w:rPr>
      </w:pPr>
    </w:p>
    <w:p>
      <w:pPr>
        <w:spacing w:before="78" w:line="185" w:lineRule="auto"/>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投标单位</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2"/>
          <w:sz w:val="24"/>
          <w:szCs w:val="24"/>
          <w:highlight w:val="none"/>
        </w:rPr>
        <w:t>盖章</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2"/>
          <w:sz w:val="24"/>
          <w:szCs w:val="24"/>
          <w:highlight w:val="none"/>
        </w:rPr>
        <w:t>电子投标文件中须盖单位电子印章）</w:t>
      </w:r>
    </w:p>
    <w:p>
      <w:pPr>
        <w:spacing w:line="435" w:lineRule="auto"/>
        <w:rPr>
          <w:rFonts w:hint="eastAsia" w:ascii="宋体" w:hAnsi="宋体" w:eastAsia="宋体" w:cs="宋体"/>
          <w:color w:val="auto"/>
          <w:sz w:val="21"/>
          <w:highlight w:val="none"/>
        </w:rPr>
      </w:pPr>
    </w:p>
    <w:p>
      <w:pPr>
        <w:spacing w:before="78" w:line="185" w:lineRule="auto"/>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12"/>
          <w:sz w:val="24"/>
          <w:szCs w:val="24"/>
          <w:highlight w:val="none"/>
        </w:rPr>
        <w:t>签名或盖章</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12"/>
          <w:sz w:val="24"/>
          <w:szCs w:val="24"/>
          <w:highlight w:val="none"/>
        </w:rPr>
        <w:t>电子投标文件中须盖电子印章）</w:t>
      </w:r>
    </w:p>
    <w:p>
      <w:pPr>
        <w:spacing w:line="475" w:lineRule="auto"/>
        <w:rPr>
          <w:rFonts w:hint="eastAsia" w:ascii="宋体" w:hAnsi="宋体" w:eastAsia="宋体" w:cs="宋体"/>
          <w:color w:val="auto"/>
          <w:sz w:val="21"/>
          <w:highlight w:val="none"/>
        </w:rPr>
      </w:pPr>
    </w:p>
    <w:p>
      <w:pPr>
        <w:spacing w:before="92" w:line="185" w:lineRule="auto"/>
        <w:ind w:firstLine="5163"/>
        <w:rPr>
          <w:rFonts w:hint="eastAsia" w:ascii="宋体" w:hAnsi="宋体" w:eastAsia="宋体" w:cs="宋体"/>
          <w:color w:val="auto"/>
          <w:sz w:val="28"/>
          <w:szCs w:val="28"/>
          <w:highlight w:val="none"/>
        </w:rPr>
      </w:pPr>
      <w:r>
        <w:rPr>
          <w:rFonts w:hint="eastAsia" w:ascii="宋体" w:hAnsi="宋体" w:eastAsia="宋体" w:cs="宋体"/>
          <w:color w:val="auto"/>
          <w:spacing w:val="-10"/>
          <w:sz w:val="28"/>
          <w:szCs w:val="28"/>
          <w:highlight w:val="none"/>
          <w14:textOutline w14:w="5094" w14:cap="flat" w14:cmpd="sng">
            <w14:solidFill>
              <w14:srgbClr w14:val="000000"/>
            </w14:solidFill>
            <w14:prstDash w14:val="solid"/>
            <w14:miter w14:val="0"/>
          </w14:textOutline>
        </w:rPr>
        <w:t>年</w:t>
      </w:r>
      <w:r>
        <w:rPr>
          <w:rFonts w:hint="eastAsia" w:ascii="宋体" w:hAnsi="宋体" w:eastAsia="宋体" w:cs="宋体"/>
          <w:color w:val="auto"/>
          <w:spacing w:val="5"/>
          <w:sz w:val="28"/>
          <w:szCs w:val="28"/>
          <w:highlight w:val="none"/>
        </w:rPr>
        <w:t xml:space="preserve">     </w:t>
      </w:r>
      <w:r>
        <w:rPr>
          <w:rFonts w:hint="eastAsia" w:ascii="宋体" w:hAnsi="宋体" w:eastAsia="宋体" w:cs="宋体"/>
          <w:color w:val="auto"/>
          <w:spacing w:val="-10"/>
          <w:sz w:val="28"/>
          <w:szCs w:val="28"/>
          <w:highlight w:val="none"/>
          <w14:textOutline w14:w="5094" w14:cap="flat" w14:cmpd="sng">
            <w14:solidFill>
              <w14:srgbClr w14:val="000000"/>
            </w14:solidFill>
            <w14:prstDash w14:val="solid"/>
            <w14:miter w14:val="0"/>
          </w14:textOutline>
        </w:rPr>
        <w:t>月</w:t>
      </w:r>
      <w:r>
        <w:rPr>
          <w:rFonts w:hint="eastAsia" w:ascii="宋体" w:hAnsi="宋体" w:eastAsia="宋体" w:cs="宋体"/>
          <w:color w:val="auto"/>
          <w:spacing w:val="12"/>
          <w:sz w:val="28"/>
          <w:szCs w:val="28"/>
          <w:highlight w:val="none"/>
        </w:rPr>
        <w:t xml:space="preserve">     </w:t>
      </w:r>
      <w:r>
        <w:rPr>
          <w:rFonts w:hint="eastAsia" w:ascii="宋体" w:hAnsi="宋体" w:eastAsia="宋体" w:cs="宋体"/>
          <w:color w:val="auto"/>
          <w:spacing w:val="-10"/>
          <w:sz w:val="28"/>
          <w:szCs w:val="28"/>
          <w:highlight w:val="none"/>
          <w14:textOutline w14:w="5094" w14:cap="flat" w14:cmpd="sng">
            <w14:solidFill>
              <w14:srgbClr w14:val="000000"/>
            </w14:solidFill>
            <w14:prstDash w14:val="solid"/>
            <w14:miter w14:val="0"/>
          </w14:textOutline>
        </w:rPr>
        <w:t>日</w:t>
      </w: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3"/>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spacing w:before="91" w:line="185" w:lineRule="auto"/>
        <w:jc w:val="center"/>
        <w:rPr>
          <w:rFonts w:hint="eastAsia" w:ascii="宋体" w:hAnsi="宋体" w:eastAsia="宋体" w:cs="宋体"/>
          <w:color w:val="auto"/>
          <w:sz w:val="28"/>
          <w:szCs w:val="28"/>
          <w:highlight w:val="none"/>
          <w:lang w:val="en-US" w:eastAsia="zh-CN"/>
        </w:rPr>
      </w:pPr>
      <w:r>
        <w:rPr>
          <w:rFonts w:hint="eastAsia" w:ascii="宋体" w:hAnsi="宋体" w:eastAsia="宋体" w:cs="宋体"/>
          <w:b/>
          <w:color w:val="auto"/>
          <w:sz w:val="28"/>
          <w:highlight w:val="none"/>
        </w:rPr>
        <w:t>（</w:t>
      </w:r>
      <w:r>
        <w:rPr>
          <w:rFonts w:hint="eastAsia" w:ascii="宋体" w:hAnsi="宋体" w:eastAsia="宋体" w:cs="宋体"/>
          <w:b/>
          <w:color w:val="auto"/>
          <w:sz w:val="28"/>
          <w:highlight w:val="none"/>
          <w:lang w:val="en-US" w:eastAsia="zh-CN"/>
        </w:rPr>
        <w:t>十一</w:t>
      </w:r>
      <w:r>
        <w:rPr>
          <w:rFonts w:hint="eastAsia" w:ascii="宋体" w:hAnsi="宋体" w:eastAsia="宋体" w:cs="宋体"/>
          <w:b/>
          <w:color w:val="auto"/>
          <w:sz w:val="28"/>
          <w:highlight w:val="none"/>
        </w:rPr>
        <w:t>）</w:t>
      </w:r>
      <w:r>
        <w:rPr>
          <w:rFonts w:hint="eastAsia" w:ascii="宋体" w:hAnsi="宋体" w:eastAsia="宋体" w:cs="宋体"/>
          <w:color w:val="auto"/>
          <w:spacing w:val="-2"/>
          <w:sz w:val="28"/>
          <w:szCs w:val="28"/>
          <w:highlight w:val="none"/>
          <w:lang w:val="en-US" w:eastAsia="zh-CN"/>
          <w14:textOutline w14:w="5094" w14:cap="flat" w14:cmpd="sng">
            <w14:solidFill>
              <w14:srgbClr w14:val="000000"/>
            </w14:solidFill>
            <w14:prstDash w14:val="solid"/>
            <w14:miter w14:val="0"/>
          </w14:textOutline>
        </w:rPr>
        <w:t>投标人认为需要递交的其他材料</w:t>
      </w: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3"/>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3"/>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3"/>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3"/>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3"/>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3"/>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3"/>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3"/>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before="97" w:line="185" w:lineRule="auto"/>
        <w:ind w:firstLine="3212"/>
        <w:textAlignment w:val="auto"/>
        <w:outlineLvl w:val="9"/>
        <w:rPr>
          <w:rFonts w:hint="eastAsia" w:ascii="宋体" w:hAnsi="宋体" w:eastAsia="宋体" w:cs="宋体"/>
          <w:color w:val="auto"/>
          <w:sz w:val="30"/>
          <w:szCs w:val="30"/>
          <w:highlight w:val="none"/>
        </w:rPr>
      </w:pPr>
      <w:r>
        <w:rPr>
          <w:rFonts w:hint="eastAsia" w:ascii="宋体" w:hAnsi="宋体" w:eastAsia="宋体" w:cs="宋体"/>
          <w:color w:val="auto"/>
          <w:spacing w:val="-26"/>
          <w:sz w:val="30"/>
          <w:szCs w:val="30"/>
          <w:highlight w:val="none"/>
          <w14:textOutline w14:w="5442" w14:cap="flat" w14:cmpd="sng">
            <w14:solidFill>
              <w14:srgbClr w14:val="000000"/>
            </w14:solidFill>
            <w14:prstDash w14:val="solid"/>
            <w14:miter w14:val="0"/>
          </w14:textOutline>
        </w:rPr>
        <w:t>（二）</w:t>
      </w:r>
      <w:r>
        <w:rPr>
          <w:rFonts w:hint="eastAsia" w:ascii="宋体" w:hAnsi="宋体" w:eastAsia="宋体" w:cs="宋体"/>
          <w:color w:val="auto"/>
          <w:spacing w:val="144"/>
          <w:sz w:val="30"/>
          <w:szCs w:val="30"/>
          <w:highlight w:val="none"/>
        </w:rPr>
        <w:t xml:space="preserve"> </w:t>
      </w:r>
      <w:r>
        <w:rPr>
          <w:rFonts w:hint="eastAsia" w:ascii="宋体" w:hAnsi="宋体" w:eastAsia="宋体" w:cs="宋体"/>
          <w:color w:val="auto"/>
          <w:spacing w:val="-26"/>
          <w:sz w:val="30"/>
          <w:szCs w:val="30"/>
          <w:highlight w:val="none"/>
          <w14:textOutline w14:w="5442" w14:cap="flat" w14:cmpd="sng">
            <w14:solidFill>
              <w14:srgbClr w14:val="000000"/>
            </w14:solidFill>
            <w14:prstDash w14:val="solid"/>
            <w14:miter w14:val="0"/>
          </w14:textOutline>
        </w:rPr>
        <w:t>技术标</w:t>
      </w:r>
    </w:p>
    <w:p>
      <w:pPr>
        <w:keepNext w:val="0"/>
        <w:keepLines w:val="0"/>
        <w:pageBreakBefore w:val="0"/>
        <w:widowControl w:val="0"/>
        <w:kinsoku/>
        <w:wordWrap/>
        <w:overflowPunct/>
        <w:topLinePunct w:val="0"/>
        <w:autoSpaceDE w:val="0"/>
        <w:autoSpaceDN w:val="0"/>
        <w:bidi w:val="0"/>
        <w:adjustRightInd/>
        <w:snapToGrid/>
        <w:spacing w:line="261"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ind w:firstLine="5809"/>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2"/>
          <w:sz w:val="24"/>
          <w:szCs w:val="24"/>
          <w:highlight w:val="none"/>
          <w:lang w:val="en-US" w:eastAsia="zh-CN"/>
          <w14:textOutline w14:w="4354" w14:cap="flat" w14:cmpd="sng">
            <w14:solidFill>
              <w14:srgbClr w14:val="000000"/>
            </w14:solidFill>
            <w14:prstDash w14:val="solid"/>
            <w14:miter w14:val="0"/>
          </w14:textOutline>
        </w:rPr>
        <w:t>项目名称</w:t>
      </w:r>
    </w:p>
    <w:p>
      <w:pPr>
        <w:keepNext w:val="0"/>
        <w:keepLines w:val="0"/>
        <w:pageBreakBefore w:val="0"/>
        <w:widowControl w:val="0"/>
        <w:kinsoku/>
        <w:wordWrap/>
        <w:overflowPunct/>
        <w:topLinePunct w:val="0"/>
        <w:autoSpaceDE w:val="0"/>
        <w:autoSpaceDN w:val="0"/>
        <w:bidi w:val="0"/>
        <w:adjustRightInd/>
        <w:snapToGrid/>
        <w:spacing w:line="253"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53"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53"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53"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53"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53"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54"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54"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54"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98" w:line="185" w:lineRule="auto"/>
        <w:ind w:firstLine="3133"/>
        <w:textAlignment w:val="auto"/>
        <w:outlineLvl w:val="9"/>
        <w:rPr>
          <w:rFonts w:hint="eastAsia" w:ascii="宋体" w:hAnsi="宋体" w:eastAsia="宋体" w:cs="宋体"/>
          <w:color w:val="auto"/>
          <w:sz w:val="30"/>
          <w:szCs w:val="30"/>
          <w:highlight w:val="none"/>
        </w:rPr>
      </w:pPr>
      <w:r>
        <w:rPr>
          <w:rFonts w:hint="eastAsia" w:ascii="宋体" w:hAnsi="宋体" w:eastAsia="宋体" w:cs="宋体"/>
          <w:color w:val="auto"/>
          <w:spacing w:val="-11"/>
          <w:sz w:val="30"/>
          <w:szCs w:val="30"/>
          <w:highlight w:val="none"/>
          <w14:textOutline w14:w="5442" w14:cap="flat" w14:cmpd="sng">
            <w14:solidFill>
              <w14:srgbClr w14:val="000000"/>
            </w14:solidFill>
            <w14:prstDash w14:val="solid"/>
            <w14:miter w14:val="0"/>
          </w14:textOutline>
        </w:rPr>
        <w:t>投</w:t>
      </w:r>
      <w:r>
        <w:rPr>
          <w:rFonts w:hint="eastAsia" w:ascii="宋体" w:hAnsi="宋体" w:eastAsia="宋体" w:cs="宋体"/>
          <w:color w:val="auto"/>
          <w:spacing w:val="8"/>
          <w:sz w:val="30"/>
          <w:szCs w:val="30"/>
          <w:highlight w:val="none"/>
        </w:rPr>
        <w:t xml:space="preserve">  </w:t>
      </w:r>
      <w:r>
        <w:rPr>
          <w:rFonts w:hint="eastAsia" w:ascii="宋体" w:hAnsi="宋体" w:eastAsia="宋体" w:cs="宋体"/>
          <w:color w:val="auto"/>
          <w:spacing w:val="-11"/>
          <w:sz w:val="30"/>
          <w:szCs w:val="30"/>
          <w:highlight w:val="none"/>
          <w14:textOutline w14:w="5442" w14:cap="flat" w14:cmpd="sng">
            <w14:solidFill>
              <w14:srgbClr w14:val="000000"/>
            </w14:solidFill>
            <w14:prstDash w14:val="solid"/>
            <w14:miter w14:val="0"/>
          </w14:textOutline>
        </w:rPr>
        <w:t>标</w:t>
      </w:r>
      <w:r>
        <w:rPr>
          <w:rFonts w:hint="eastAsia" w:ascii="宋体" w:hAnsi="宋体" w:eastAsia="宋体" w:cs="宋体"/>
          <w:color w:val="auto"/>
          <w:spacing w:val="8"/>
          <w:sz w:val="30"/>
          <w:szCs w:val="30"/>
          <w:highlight w:val="none"/>
        </w:rPr>
        <w:t xml:space="preserve">  </w:t>
      </w:r>
      <w:r>
        <w:rPr>
          <w:rFonts w:hint="eastAsia" w:ascii="宋体" w:hAnsi="宋体" w:eastAsia="宋体" w:cs="宋体"/>
          <w:color w:val="auto"/>
          <w:spacing w:val="-11"/>
          <w:sz w:val="30"/>
          <w:szCs w:val="30"/>
          <w:highlight w:val="none"/>
          <w14:textOutline w14:w="5442" w14:cap="flat" w14:cmpd="sng">
            <w14:solidFill>
              <w14:srgbClr w14:val="000000"/>
            </w14:solidFill>
            <w14:prstDash w14:val="solid"/>
            <w14:miter w14:val="0"/>
          </w14:textOutline>
        </w:rPr>
        <w:t>文</w:t>
      </w:r>
      <w:r>
        <w:rPr>
          <w:rFonts w:hint="eastAsia" w:ascii="宋体" w:hAnsi="宋体" w:eastAsia="宋体" w:cs="宋体"/>
          <w:color w:val="auto"/>
          <w:spacing w:val="7"/>
          <w:sz w:val="30"/>
          <w:szCs w:val="30"/>
          <w:highlight w:val="none"/>
        </w:rPr>
        <w:t xml:space="preserve">  </w:t>
      </w:r>
      <w:r>
        <w:rPr>
          <w:rFonts w:hint="eastAsia" w:ascii="宋体" w:hAnsi="宋体" w:eastAsia="宋体" w:cs="宋体"/>
          <w:color w:val="auto"/>
          <w:spacing w:val="-11"/>
          <w:sz w:val="30"/>
          <w:szCs w:val="30"/>
          <w:highlight w:val="none"/>
          <w14:textOutline w14:w="5442" w14:cap="flat" w14:cmpd="sng">
            <w14:solidFill>
              <w14:srgbClr w14:val="000000"/>
            </w14:solidFill>
            <w14:prstDash w14:val="solid"/>
            <w14:miter w14:val="0"/>
          </w14:textOutline>
        </w:rPr>
        <w:t>件</w:t>
      </w:r>
    </w:p>
    <w:p>
      <w:pPr>
        <w:keepNext w:val="0"/>
        <w:keepLines w:val="0"/>
        <w:pageBreakBefore w:val="0"/>
        <w:widowControl w:val="0"/>
        <w:kinsoku/>
        <w:wordWrap/>
        <w:overflowPunct/>
        <w:topLinePunct w:val="0"/>
        <w:autoSpaceDE w:val="0"/>
        <w:autoSpaceDN w:val="0"/>
        <w:bidi w:val="0"/>
        <w:adjustRightInd/>
        <w:snapToGrid/>
        <w:spacing w:before="322" w:line="185" w:lineRule="auto"/>
        <w:ind w:firstLine="3579"/>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4354" w14:cap="flat" w14:cmpd="sng">
            <w14:solidFill>
              <w14:srgbClr w14:val="000000"/>
            </w14:solidFill>
            <w14:prstDash w14:val="solid"/>
            <w14:miter w14:val="0"/>
          </w14:textOutline>
        </w:rPr>
        <w:t>招标编号：</w:t>
      </w:r>
    </w:p>
    <w:p>
      <w:pPr>
        <w:keepNext w:val="0"/>
        <w:keepLines w:val="0"/>
        <w:pageBreakBefore w:val="0"/>
        <w:widowControl w:val="0"/>
        <w:kinsoku/>
        <w:wordWrap/>
        <w:overflowPunct/>
        <w:topLinePunct w:val="0"/>
        <w:autoSpaceDE w:val="0"/>
        <w:autoSpaceDN w:val="0"/>
        <w:bidi w:val="0"/>
        <w:adjustRightInd/>
        <w:snapToGrid/>
        <w:spacing w:line="243"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43"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43"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44"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44"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44"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44"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44"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44"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44"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79" w:line="185" w:lineRule="auto"/>
        <w:ind w:firstLine="639"/>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14:textOutline w14:w="4354" w14:cap="flat" w14:cmpd="sng">
            <w14:solidFill>
              <w14:srgbClr w14:val="000000"/>
            </w14:solidFill>
            <w14:prstDash w14:val="solid"/>
            <w14:miter w14:val="0"/>
          </w14:textOutline>
        </w:rPr>
        <w:t>项目名称：</w:t>
      </w:r>
    </w:p>
    <w:p>
      <w:pPr>
        <w:keepNext w:val="0"/>
        <w:keepLines w:val="0"/>
        <w:pageBreakBefore w:val="0"/>
        <w:widowControl w:val="0"/>
        <w:kinsoku/>
        <w:wordWrap/>
        <w:overflowPunct/>
        <w:topLinePunct w:val="0"/>
        <w:autoSpaceDE w:val="0"/>
        <w:autoSpaceDN w:val="0"/>
        <w:bidi w:val="0"/>
        <w:adjustRightInd/>
        <w:snapToGrid/>
        <w:spacing w:before="274" w:line="516" w:lineRule="exact"/>
        <w:ind w:firstLine="638"/>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3"/>
          <w:position w:val="20"/>
          <w:sz w:val="24"/>
          <w:szCs w:val="24"/>
          <w:highlight w:val="none"/>
          <w14:textOutline w14:w="4354" w14:cap="flat" w14:cmpd="sng">
            <w14:solidFill>
              <w14:srgbClr w14:val="000000"/>
            </w14:solidFill>
            <w14:prstDash w14:val="solid"/>
            <w14:miter w14:val="0"/>
          </w14:textOutline>
        </w:rPr>
        <w:t>投标文件内容：</w:t>
      </w:r>
      <w:r>
        <w:rPr>
          <w:rFonts w:hint="eastAsia" w:ascii="宋体" w:hAnsi="宋体" w:eastAsia="宋体" w:cs="宋体"/>
          <w:color w:val="auto"/>
          <w:spacing w:val="5"/>
          <w:position w:val="20"/>
          <w:sz w:val="24"/>
          <w:szCs w:val="24"/>
          <w:highlight w:val="none"/>
          <w:u w:val="single" w:color="auto"/>
        </w:rPr>
        <w:t xml:space="preserve">           </w:t>
      </w:r>
      <w:r>
        <w:rPr>
          <w:rFonts w:hint="eastAsia" w:ascii="宋体" w:hAnsi="宋体" w:eastAsia="宋体" w:cs="宋体"/>
          <w:color w:val="auto"/>
          <w:spacing w:val="-13"/>
          <w:position w:val="20"/>
          <w:sz w:val="24"/>
          <w:szCs w:val="24"/>
          <w:highlight w:val="none"/>
          <w:u w:val="single" w:color="auto"/>
          <w14:textOutline w14:w="4354" w14:cap="flat" w14:cmpd="sng">
            <w14:solidFill>
              <w14:srgbClr w14:val="000000"/>
            </w14:solidFill>
            <w14:prstDash w14:val="solid"/>
            <w14:miter w14:val="0"/>
          </w14:textOutline>
        </w:rPr>
        <w:t>资格审查及技术标</w:t>
      </w:r>
      <w:r>
        <w:rPr>
          <w:rFonts w:hint="eastAsia" w:ascii="宋体" w:hAnsi="宋体" w:eastAsia="宋体" w:cs="宋体"/>
          <w:color w:val="auto"/>
          <w:spacing w:val="1"/>
          <w:position w:val="20"/>
          <w:sz w:val="24"/>
          <w:szCs w:val="24"/>
          <w:highlight w:val="none"/>
          <w:u w:val="single" w:color="auto"/>
        </w:rPr>
        <w:t xml:space="preserve">     </w:t>
      </w:r>
    </w:p>
    <w:p>
      <w:pPr>
        <w:keepNext w:val="0"/>
        <w:keepLines w:val="0"/>
        <w:pageBreakBefore w:val="0"/>
        <w:widowControl w:val="0"/>
        <w:kinsoku/>
        <w:wordWrap/>
        <w:overflowPunct/>
        <w:topLinePunct w:val="0"/>
        <w:autoSpaceDE w:val="0"/>
        <w:autoSpaceDN w:val="0"/>
        <w:bidi w:val="0"/>
        <w:adjustRightInd/>
        <w:snapToGrid/>
        <w:spacing w:line="204" w:lineRule="auto"/>
        <w:ind w:firstLine="602"/>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pacing w:val="-16"/>
          <w:sz w:val="24"/>
          <w:szCs w:val="24"/>
          <w:highlight w:val="none"/>
          <w14:textOutline w14:w="4354" w14:cap="flat" w14:cmpd="sng">
            <w14:solidFill>
              <w14:srgbClr w14:val="000000"/>
            </w14:solidFill>
            <w14:prstDash w14:val="solid"/>
            <w14:miter w14:val="0"/>
          </w14:textOutline>
        </w:rPr>
        <w:t>投</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6"/>
          <w:sz w:val="24"/>
          <w:szCs w:val="24"/>
          <w:highlight w:val="none"/>
          <w14:textOutline w14:w="4354" w14:cap="flat" w14:cmpd="sng">
            <w14:solidFill>
              <w14:srgbClr w14:val="000000"/>
            </w14:solidFill>
            <w14:prstDash w14:val="solid"/>
            <w14:miter w14:val="0"/>
          </w14:textOutline>
        </w:rPr>
        <w:t>标</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6"/>
          <w:sz w:val="24"/>
          <w:szCs w:val="24"/>
          <w:highlight w:val="none"/>
          <w14:textOutline w14:w="4354" w14:cap="flat" w14:cmpd="sng">
            <w14:solidFill>
              <w14:srgbClr w14:val="000000"/>
            </w14:solidFill>
            <w14:prstDash w14:val="solid"/>
            <w14:miter w14:val="0"/>
          </w14:textOutline>
        </w:rPr>
        <w:t>人</w:t>
      </w:r>
      <w:r>
        <w:rPr>
          <w:rFonts w:hint="eastAsia" w:ascii="宋体" w:hAnsi="宋体" w:eastAsia="宋体" w:cs="宋体"/>
          <w:color w:val="auto"/>
          <w:spacing w:val="-38"/>
          <w:sz w:val="24"/>
          <w:szCs w:val="24"/>
          <w:highlight w:val="none"/>
          <w14:textOutline w14:w="4354" w14:cap="flat" w14:cmpd="sng">
            <w14:solidFill>
              <w14:srgbClr w14:val="000000"/>
            </w14:solidFill>
            <w14:prstDash w14:val="solid"/>
            <w14:miter w14:val="0"/>
          </w14:textOutline>
        </w:rPr>
        <w:t>：</w:t>
      </w:r>
      <w:r>
        <w:rPr>
          <w:rFonts w:hint="eastAsia" w:ascii="宋体" w:hAnsi="宋体" w:eastAsia="宋体" w:cs="宋体"/>
          <w:color w:val="auto"/>
          <w:spacing w:val="118"/>
          <w:sz w:val="24"/>
          <w:szCs w:val="24"/>
          <w:highlight w:val="none"/>
          <w:u w:val="single" w:color="auto"/>
        </w:rPr>
        <w:t xml:space="preserve"> </w:t>
      </w:r>
      <w:r>
        <w:rPr>
          <w:rFonts w:hint="eastAsia" w:ascii="宋体" w:hAnsi="宋体" w:eastAsia="宋体" w:cs="宋体"/>
          <w:color w:val="auto"/>
          <w:spacing w:val="-38"/>
          <w:sz w:val="21"/>
          <w:szCs w:val="21"/>
          <w:highlight w:val="none"/>
          <w:u w:val="single" w:color="auto"/>
          <w14:textOutline w14:w="3831" w14:cap="flat" w14:cmpd="sng">
            <w14:solidFill>
              <w14:srgbClr w14:val="000000"/>
            </w14:solidFill>
            <w14:prstDash w14:val="solid"/>
            <w14:miter w14:val="0"/>
          </w14:textOutline>
        </w:rPr>
        <w:t>（</w:t>
      </w:r>
      <w:r>
        <w:rPr>
          <w:rFonts w:hint="eastAsia" w:ascii="宋体" w:hAnsi="宋体" w:eastAsia="宋体" w:cs="宋体"/>
          <w:color w:val="auto"/>
          <w:spacing w:val="-16"/>
          <w:sz w:val="21"/>
          <w:szCs w:val="21"/>
          <w:highlight w:val="none"/>
          <w:u w:val="single" w:color="auto"/>
          <w14:textOutline w14:w="3831" w14:cap="flat" w14:cmpd="sng">
            <w14:solidFill>
              <w14:srgbClr w14:val="000000"/>
            </w14:solidFill>
            <w14:prstDash w14:val="solid"/>
            <w14:miter w14:val="0"/>
          </w14:textOutline>
        </w:rPr>
        <w:t>盖公章</w:t>
      </w:r>
      <w:r>
        <w:rPr>
          <w:rFonts w:hint="eastAsia" w:ascii="宋体" w:hAnsi="宋体" w:eastAsia="宋体" w:cs="宋体"/>
          <w:color w:val="auto"/>
          <w:spacing w:val="-38"/>
          <w:sz w:val="21"/>
          <w:szCs w:val="21"/>
          <w:highlight w:val="none"/>
          <w:u w:val="single" w:color="auto"/>
          <w14:textOutline w14:w="3831" w14:cap="flat" w14:cmpd="sng">
            <w14:solidFill>
              <w14:srgbClr w14:val="000000"/>
            </w14:solidFill>
            <w14:prstDash w14:val="solid"/>
            <w14:miter w14:val="0"/>
          </w14:textOutline>
        </w:rPr>
        <w:t>）</w:t>
      </w:r>
      <w:r>
        <w:rPr>
          <w:rFonts w:hint="eastAsia" w:ascii="宋体" w:hAnsi="宋体" w:eastAsia="宋体" w:cs="宋体"/>
          <w:color w:val="auto"/>
          <w:spacing w:val="13"/>
          <w:sz w:val="21"/>
          <w:szCs w:val="21"/>
          <w:highlight w:val="none"/>
          <w:u w:val="single" w:color="auto"/>
        </w:rPr>
        <w:t xml:space="preserve">  </w:t>
      </w:r>
      <w:r>
        <w:rPr>
          <w:rFonts w:hint="eastAsia" w:ascii="宋体" w:hAnsi="宋体" w:eastAsia="宋体" w:cs="宋体"/>
          <w:color w:val="auto"/>
          <w:spacing w:val="-38"/>
          <w:sz w:val="21"/>
          <w:szCs w:val="21"/>
          <w:highlight w:val="none"/>
          <w:u w:val="single" w:color="auto"/>
          <w14:textOutline w14:w="3831" w14:cap="flat" w14:cmpd="sng">
            <w14:solidFill>
              <w14:srgbClr w14:val="000000"/>
            </w14:solidFill>
            <w14:prstDash w14:val="solid"/>
            <w14:miter w14:val="0"/>
          </w14:textOutline>
        </w:rPr>
        <w:t>（</w:t>
      </w:r>
      <w:r>
        <w:rPr>
          <w:rFonts w:hint="eastAsia" w:ascii="宋体" w:hAnsi="宋体" w:eastAsia="宋体" w:cs="宋体"/>
          <w:color w:val="auto"/>
          <w:spacing w:val="-16"/>
          <w:sz w:val="21"/>
          <w:szCs w:val="21"/>
          <w:highlight w:val="none"/>
          <w:u w:val="single" w:color="auto"/>
          <w14:textOutline w14:w="3831" w14:cap="flat" w14:cmpd="sng">
            <w14:solidFill>
              <w14:srgbClr w14:val="000000"/>
            </w14:solidFill>
            <w14:prstDash w14:val="solid"/>
            <w14:miter w14:val="0"/>
          </w14:textOutline>
        </w:rPr>
        <w:t>电子投标文件中须盖单位电子印章）</w:t>
      </w:r>
    </w:p>
    <w:p>
      <w:pPr>
        <w:keepNext w:val="0"/>
        <w:keepLines w:val="0"/>
        <w:pageBreakBefore w:val="0"/>
        <w:widowControl w:val="0"/>
        <w:kinsoku/>
        <w:wordWrap/>
        <w:overflowPunct/>
        <w:topLinePunct w:val="0"/>
        <w:autoSpaceDE w:val="0"/>
        <w:autoSpaceDN w:val="0"/>
        <w:bidi w:val="0"/>
        <w:adjustRightInd/>
        <w:snapToGrid/>
        <w:spacing w:before="247" w:line="185" w:lineRule="auto"/>
        <w:ind w:firstLine="598"/>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4354" w14:cap="flat" w14:cmpd="sng">
            <w14:solidFill>
              <w14:srgbClr w14:val="000000"/>
            </w14:solidFill>
            <w14:prstDash w14:val="solid"/>
            <w14:miter w14:val="0"/>
          </w14:textOutline>
        </w:rPr>
        <w:t>法定代表人或</w:t>
      </w:r>
    </w:p>
    <w:p>
      <w:pPr>
        <w:keepNext w:val="0"/>
        <w:keepLines w:val="0"/>
        <w:pageBreakBefore w:val="0"/>
        <w:widowControl w:val="0"/>
        <w:kinsoku/>
        <w:wordWrap/>
        <w:overflowPunct/>
        <w:topLinePunct w:val="0"/>
        <w:autoSpaceDE w:val="0"/>
        <w:autoSpaceDN w:val="0"/>
        <w:bidi w:val="0"/>
        <w:adjustRightInd/>
        <w:snapToGrid/>
        <w:spacing w:before="276" w:line="185" w:lineRule="auto"/>
        <w:ind w:firstLine="598"/>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pacing w:val="-3"/>
          <w:sz w:val="24"/>
          <w:szCs w:val="24"/>
          <w:highlight w:val="none"/>
          <w14:textOutline w14:w="4354" w14:cap="flat" w14:cmpd="sng">
            <w14:solidFill>
              <w14:srgbClr w14:val="000000"/>
            </w14:solidFill>
            <w14:prstDash w14:val="solid"/>
            <w14:miter w14:val="0"/>
          </w14:textOutline>
        </w:rPr>
        <w:t>其委托代理人</w:t>
      </w:r>
      <w:r>
        <w:rPr>
          <w:rFonts w:hint="eastAsia" w:ascii="宋体" w:hAnsi="宋体" w:eastAsia="宋体" w:cs="宋体"/>
          <w:color w:val="auto"/>
          <w:spacing w:val="-42"/>
          <w:sz w:val="24"/>
          <w:szCs w:val="24"/>
          <w:highlight w:val="none"/>
          <w14:textOutline w14:w="4354" w14:cap="flat" w14:cmpd="sng">
            <w14:solidFill>
              <w14:srgbClr w14:val="000000"/>
            </w14:solidFill>
            <w14:prstDash w14:val="solid"/>
            <w14:miter w14:val="0"/>
          </w14:textOutline>
        </w:rPr>
        <w:t>：</w:t>
      </w:r>
      <w:r>
        <w:rPr>
          <w:rFonts w:hint="eastAsia" w:ascii="宋体" w:hAnsi="宋体" w:eastAsia="宋体" w:cs="宋体"/>
          <w:color w:val="auto"/>
          <w:spacing w:val="3"/>
          <w:sz w:val="24"/>
          <w:szCs w:val="24"/>
          <w:highlight w:val="none"/>
          <w:u w:val="single" w:color="auto"/>
        </w:rPr>
        <w:t xml:space="preserve">  </w:t>
      </w:r>
      <w:r>
        <w:rPr>
          <w:rFonts w:hint="eastAsia" w:ascii="宋体" w:hAnsi="宋体" w:eastAsia="宋体" w:cs="宋体"/>
          <w:color w:val="auto"/>
          <w:spacing w:val="-42"/>
          <w:sz w:val="21"/>
          <w:szCs w:val="21"/>
          <w:highlight w:val="none"/>
          <w:u w:val="single" w:color="auto"/>
          <w14:textOutline w14:w="3831" w14:cap="flat" w14:cmpd="sng">
            <w14:solidFill>
              <w14:srgbClr w14:val="000000"/>
            </w14:solidFill>
            <w14:prstDash w14:val="solid"/>
            <w14:miter w14:val="0"/>
          </w14:textOutline>
        </w:rPr>
        <w:t>（</w:t>
      </w:r>
      <w:r>
        <w:rPr>
          <w:rFonts w:hint="eastAsia" w:ascii="宋体" w:hAnsi="宋体" w:eastAsia="宋体" w:cs="宋体"/>
          <w:color w:val="auto"/>
          <w:spacing w:val="-3"/>
          <w:sz w:val="21"/>
          <w:szCs w:val="21"/>
          <w:highlight w:val="none"/>
          <w:u w:val="single" w:color="auto"/>
          <w14:textOutline w14:w="3831" w14:cap="flat" w14:cmpd="sng">
            <w14:solidFill>
              <w14:srgbClr w14:val="000000"/>
            </w14:solidFill>
            <w14:prstDash w14:val="solid"/>
            <w14:miter w14:val="0"/>
          </w14:textOutline>
        </w:rPr>
        <w:t>签字或盖章</w:t>
      </w:r>
      <w:r>
        <w:rPr>
          <w:rFonts w:hint="eastAsia" w:ascii="宋体" w:hAnsi="宋体" w:eastAsia="宋体" w:cs="宋体"/>
          <w:color w:val="auto"/>
          <w:spacing w:val="-42"/>
          <w:sz w:val="21"/>
          <w:szCs w:val="21"/>
          <w:highlight w:val="none"/>
          <w:u w:val="single" w:color="auto"/>
          <w14:textOutline w14:w="3831" w14:cap="flat" w14:cmpd="sng">
            <w14:solidFill>
              <w14:srgbClr w14:val="000000"/>
            </w14:solidFill>
            <w14:prstDash w14:val="solid"/>
            <w14:miter w14:val="0"/>
          </w14:textOutline>
        </w:rPr>
        <w:t>）（</w:t>
      </w:r>
      <w:r>
        <w:rPr>
          <w:rFonts w:hint="eastAsia" w:ascii="宋体" w:hAnsi="宋体" w:eastAsia="宋体" w:cs="宋体"/>
          <w:color w:val="auto"/>
          <w:spacing w:val="-3"/>
          <w:sz w:val="21"/>
          <w:szCs w:val="21"/>
          <w:highlight w:val="none"/>
          <w:u w:val="single" w:color="auto"/>
          <w14:textOutline w14:w="3831" w14:cap="flat" w14:cmpd="sng">
            <w14:solidFill>
              <w14:srgbClr w14:val="000000"/>
            </w14:solidFill>
            <w14:prstDash w14:val="solid"/>
            <w14:miter w14:val="0"/>
          </w14:textOutline>
        </w:rPr>
        <w:t>电子投标文件中须盖电子印章）</w:t>
      </w:r>
    </w:p>
    <w:p>
      <w:pPr>
        <w:keepNext w:val="0"/>
        <w:keepLines w:val="0"/>
        <w:pageBreakBefore w:val="0"/>
        <w:widowControl w:val="0"/>
        <w:kinsoku/>
        <w:wordWrap/>
        <w:overflowPunct/>
        <w:topLinePunct w:val="0"/>
        <w:autoSpaceDE w:val="0"/>
        <w:autoSpaceDN w:val="0"/>
        <w:bidi w:val="0"/>
        <w:adjustRightInd/>
        <w:snapToGrid/>
        <w:spacing w:before="273" w:line="185" w:lineRule="auto"/>
        <w:ind w:firstLine="641"/>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2"/>
          <w:w w:val="92"/>
          <w:sz w:val="24"/>
          <w:szCs w:val="24"/>
          <w:highlight w:val="none"/>
          <w14:textOutline w14:w="4354" w14:cap="flat" w14:cmpd="sng">
            <w14:solidFill>
              <w14:srgbClr w14:val="000000"/>
            </w14:solidFill>
            <w14:prstDash w14:val="solid"/>
            <w14:miter w14:val="0"/>
          </w14:textOutline>
        </w:rPr>
        <w:t>日</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2"/>
          <w:w w:val="92"/>
          <w:sz w:val="24"/>
          <w:szCs w:val="24"/>
          <w:highlight w:val="none"/>
          <w14:textOutline w14:w="4354" w14:cap="flat" w14:cmpd="sng">
            <w14:solidFill>
              <w14:srgbClr w14:val="000000"/>
            </w14:solidFill>
            <w14:prstDash w14:val="solid"/>
            <w14:miter w14:val="0"/>
          </w14:textOutline>
        </w:rPr>
        <w:t>期：</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2"/>
          <w:w w:val="92"/>
          <w:sz w:val="24"/>
          <w:szCs w:val="24"/>
          <w:highlight w:val="none"/>
          <w14:textOutline w14:w="4354" w14:cap="flat" w14:cmpd="sng">
            <w14:solidFill>
              <w14:srgbClr w14:val="000000"/>
            </w14:solidFill>
            <w14:prstDash w14:val="solid"/>
            <w14:miter w14:val="0"/>
          </w14:textOutline>
        </w:rPr>
        <w:t>年</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22"/>
          <w:w w:val="92"/>
          <w:sz w:val="24"/>
          <w:szCs w:val="24"/>
          <w:highlight w:val="none"/>
          <w14:textOutline w14:w="4354" w14:cap="flat" w14:cmpd="sng">
            <w14:solidFill>
              <w14:srgbClr w14:val="000000"/>
            </w14:solidFill>
            <w14:prstDash w14:val="solid"/>
            <w14:miter w14:val="0"/>
          </w14:textOutline>
        </w:rPr>
        <w:t>月日</w:t>
      </w: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before="91" w:line="185" w:lineRule="auto"/>
        <w:ind w:firstLine="3856"/>
        <w:textAlignment w:val="auto"/>
        <w:outlineLvl w:val="9"/>
        <w:rPr>
          <w:rFonts w:hint="eastAsia" w:ascii="宋体" w:hAnsi="宋体" w:eastAsia="宋体" w:cs="宋体"/>
          <w:color w:val="auto"/>
          <w:spacing w:val="-20"/>
          <w:sz w:val="28"/>
          <w:szCs w:val="28"/>
          <w:highlight w:val="none"/>
          <w14:textOutline w14:w="5094" w14:cap="flat" w14:cmpd="sng">
            <w14:solidFill>
              <w14:srgbClr w14:val="000000"/>
            </w14:solidFill>
            <w14:prstDash w14:val="solid"/>
            <w14:miter w14:val="0"/>
          </w14:textOutline>
        </w:rPr>
      </w:pPr>
    </w:p>
    <w:p>
      <w:pPr>
        <w:keepNext w:val="0"/>
        <w:keepLines w:val="0"/>
        <w:pageBreakBefore w:val="0"/>
        <w:widowControl w:val="0"/>
        <w:kinsoku/>
        <w:wordWrap/>
        <w:overflowPunct/>
        <w:topLinePunct w:val="0"/>
        <w:autoSpaceDE w:val="0"/>
        <w:autoSpaceDN w:val="0"/>
        <w:bidi w:val="0"/>
        <w:adjustRightInd/>
        <w:snapToGrid/>
        <w:spacing w:before="91" w:line="185" w:lineRule="auto"/>
        <w:ind w:firstLine="3856"/>
        <w:textAlignment w:val="auto"/>
        <w:outlineLvl w:val="9"/>
        <w:rPr>
          <w:rFonts w:hint="eastAsia" w:ascii="宋体" w:hAnsi="宋体" w:eastAsia="宋体" w:cs="宋体"/>
          <w:color w:val="auto"/>
          <w:spacing w:val="-20"/>
          <w:sz w:val="28"/>
          <w:szCs w:val="28"/>
          <w:highlight w:val="none"/>
          <w14:textOutline w14:w="5094" w14:cap="flat" w14:cmpd="sng">
            <w14:solidFill>
              <w14:srgbClr w14:val="000000"/>
            </w14:solidFill>
            <w14:prstDash w14:val="solid"/>
            <w14:miter w14:val="0"/>
          </w14:textOutline>
        </w:rPr>
      </w:pPr>
    </w:p>
    <w:p>
      <w:pPr>
        <w:keepNext w:val="0"/>
        <w:keepLines w:val="0"/>
        <w:pageBreakBefore w:val="0"/>
        <w:widowControl w:val="0"/>
        <w:kinsoku/>
        <w:wordWrap/>
        <w:overflowPunct/>
        <w:topLinePunct w:val="0"/>
        <w:autoSpaceDE w:val="0"/>
        <w:autoSpaceDN w:val="0"/>
        <w:bidi w:val="0"/>
        <w:adjustRightInd/>
        <w:snapToGrid/>
        <w:spacing w:before="91" w:line="185" w:lineRule="auto"/>
        <w:ind w:firstLine="3856"/>
        <w:textAlignment w:val="auto"/>
        <w:outlineLvl w:val="9"/>
        <w:rPr>
          <w:rFonts w:hint="eastAsia" w:ascii="宋体" w:hAnsi="宋体" w:eastAsia="宋体" w:cs="宋体"/>
          <w:color w:val="auto"/>
          <w:spacing w:val="-20"/>
          <w:sz w:val="28"/>
          <w:szCs w:val="28"/>
          <w:highlight w:val="none"/>
          <w14:textOutline w14:w="5094" w14:cap="flat" w14:cmpd="sng">
            <w14:solidFill>
              <w14:srgbClr w14:val="000000"/>
            </w14:solidFill>
            <w14:prstDash w14:val="solid"/>
            <w14:miter w14:val="0"/>
          </w14:textOutline>
        </w:rPr>
      </w:pPr>
    </w:p>
    <w:p>
      <w:pPr>
        <w:keepNext w:val="0"/>
        <w:keepLines w:val="0"/>
        <w:pageBreakBefore w:val="0"/>
        <w:widowControl w:val="0"/>
        <w:kinsoku/>
        <w:wordWrap/>
        <w:overflowPunct/>
        <w:topLinePunct w:val="0"/>
        <w:autoSpaceDE w:val="0"/>
        <w:autoSpaceDN w:val="0"/>
        <w:bidi w:val="0"/>
        <w:adjustRightInd/>
        <w:snapToGrid/>
        <w:spacing w:before="91" w:line="185" w:lineRule="auto"/>
        <w:ind w:firstLine="3856"/>
        <w:textAlignment w:val="auto"/>
        <w:outlineLvl w:val="9"/>
        <w:rPr>
          <w:rFonts w:hint="eastAsia" w:ascii="宋体" w:hAnsi="宋体" w:eastAsia="宋体" w:cs="宋体"/>
          <w:color w:val="auto"/>
          <w:spacing w:val="-20"/>
          <w:sz w:val="28"/>
          <w:szCs w:val="28"/>
          <w:highlight w:val="none"/>
          <w14:textOutline w14:w="5094" w14:cap="flat" w14:cmpd="sng">
            <w14:solidFill>
              <w14:srgbClr w14:val="000000"/>
            </w14:solidFill>
            <w14:prstDash w14:val="solid"/>
            <w14:miter w14:val="0"/>
          </w14:textOutline>
        </w:rPr>
      </w:pPr>
    </w:p>
    <w:p>
      <w:pPr>
        <w:keepNext w:val="0"/>
        <w:keepLines w:val="0"/>
        <w:pageBreakBefore w:val="0"/>
        <w:widowControl w:val="0"/>
        <w:kinsoku/>
        <w:wordWrap/>
        <w:overflowPunct/>
        <w:topLinePunct w:val="0"/>
        <w:autoSpaceDE w:val="0"/>
        <w:autoSpaceDN w:val="0"/>
        <w:bidi w:val="0"/>
        <w:adjustRightInd/>
        <w:snapToGrid/>
        <w:spacing w:before="91" w:line="185" w:lineRule="auto"/>
        <w:ind w:firstLine="3856"/>
        <w:textAlignment w:val="auto"/>
        <w:outlineLvl w:val="9"/>
        <w:rPr>
          <w:rFonts w:hint="eastAsia" w:ascii="宋体" w:hAnsi="宋体" w:eastAsia="宋体" w:cs="宋体"/>
          <w:color w:val="auto"/>
          <w:spacing w:val="-20"/>
          <w:sz w:val="28"/>
          <w:szCs w:val="28"/>
          <w:highlight w:val="none"/>
          <w14:textOutline w14:w="5094" w14:cap="flat" w14:cmpd="sng">
            <w14:solidFill>
              <w14:srgbClr w14:val="000000"/>
            </w14:solidFill>
            <w14:prstDash w14:val="solid"/>
            <w14:miter w14:val="0"/>
          </w14:textOutline>
        </w:rPr>
      </w:pPr>
    </w:p>
    <w:p>
      <w:pPr>
        <w:keepNext w:val="0"/>
        <w:keepLines w:val="0"/>
        <w:pageBreakBefore w:val="0"/>
        <w:widowControl w:val="0"/>
        <w:kinsoku/>
        <w:wordWrap/>
        <w:overflowPunct/>
        <w:topLinePunct w:val="0"/>
        <w:autoSpaceDE w:val="0"/>
        <w:autoSpaceDN w:val="0"/>
        <w:bidi w:val="0"/>
        <w:adjustRightInd/>
        <w:snapToGrid/>
        <w:spacing w:before="91" w:line="185" w:lineRule="auto"/>
        <w:ind w:firstLine="3856"/>
        <w:textAlignment w:val="auto"/>
        <w:outlineLvl w:val="9"/>
        <w:rPr>
          <w:rFonts w:hint="eastAsia" w:ascii="宋体" w:hAnsi="宋体" w:eastAsia="宋体" w:cs="宋体"/>
          <w:color w:val="auto"/>
          <w:spacing w:val="-20"/>
          <w:sz w:val="28"/>
          <w:szCs w:val="28"/>
          <w:highlight w:val="none"/>
          <w14:textOutline w14:w="5094" w14:cap="flat" w14:cmpd="sng">
            <w14:solidFill>
              <w14:srgbClr w14:val="000000"/>
            </w14:solidFill>
            <w14:prstDash w14:val="solid"/>
            <w14:miter w14:val="0"/>
          </w14:textOutline>
        </w:rPr>
      </w:pPr>
    </w:p>
    <w:p>
      <w:pPr>
        <w:keepNext w:val="0"/>
        <w:keepLines w:val="0"/>
        <w:pageBreakBefore w:val="0"/>
        <w:widowControl w:val="0"/>
        <w:kinsoku/>
        <w:wordWrap/>
        <w:overflowPunct/>
        <w:topLinePunct w:val="0"/>
        <w:autoSpaceDE w:val="0"/>
        <w:autoSpaceDN w:val="0"/>
        <w:bidi w:val="0"/>
        <w:adjustRightInd/>
        <w:snapToGrid/>
        <w:spacing w:before="91" w:line="185" w:lineRule="auto"/>
        <w:ind w:firstLine="3856"/>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pacing w:val="-20"/>
          <w:sz w:val="28"/>
          <w:szCs w:val="28"/>
          <w:highlight w:val="none"/>
          <w14:textOutline w14:w="5094" w14:cap="flat" w14:cmpd="sng">
            <w14:solidFill>
              <w14:srgbClr w14:val="000000"/>
            </w14:solidFill>
            <w14:prstDash w14:val="solid"/>
            <w14:miter w14:val="0"/>
          </w14:textOutline>
        </w:rPr>
        <w:t>技</w:t>
      </w:r>
      <w:r>
        <w:rPr>
          <w:rFonts w:hint="eastAsia" w:ascii="宋体" w:hAnsi="宋体" w:eastAsia="宋体" w:cs="宋体"/>
          <w:color w:val="auto"/>
          <w:spacing w:val="16"/>
          <w:sz w:val="28"/>
          <w:szCs w:val="28"/>
          <w:highlight w:val="none"/>
        </w:rPr>
        <w:t xml:space="preserve"> </w:t>
      </w:r>
      <w:r>
        <w:rPr>
          <w:rFonts w:hint="eastAsia" w:ascii="宋体" w:hAnsi="宋体" w:eastAsia="宋体" w:cs="宋体"/>
          <w:color w:val="auto"/>
          <w:spacing w:val="-20"/>
          <w:sz w:val="28"/>
          <w:szCs w:val="28"/>
          <w:highlight w:val="none"/>
          <w14:textOutline w14:w="5094" w14:cap="flat" w14:cmpd="sng">
            <w14:solidFill>
              <w14:srgbClr w14:val="000000"/>
            </w14:solidFill>
            <w14:prstDash w14:val="solid"/>
            <w14:miter w14:val="0"/>
          </w14:textOutline>
        </w:rPr>
        <w:t>术</w:t>
      </w:r>
      <w:r>
        <w:rPr>
          <w:rFonts w:hint="eastAsia" w:ascii="宋体" w:hAnsi="宋体" w:eastAsia="宋体" w:cs="宋体"/>
          <w:color w:val="auto"/>
          <w:spacing w:val="14"/>
          <w:sz w:val="28"/>
          <w:szCs w:val="28"/>
          <w:highlight w:val="none"/>
        </w:rPr>
        <w:t xml:space="preserve"> </w:t>
      </w:r>
      <w:r>
        <w:rPr>
          <w:rFonts w:hint="eastAsia" w:ascii="宋体" w:hAnsi="宋体" w:eastAsia="宋体" w:cs="宋体"/>
          <w:color w:val="auto"/>
          <w:spacing w:val="-20"/>
          <w:sz w:val="28"/>
          <w:szCs w:val="28"/>
          <w:highlight w:val="none"/>
          <w14:textOutline w14:w="5094" w14:cap="flat" w14:cmpd="sng">
            <w14:solidFill>
              <w14:srgbClr w14:val="000000"/>
            </w14:solidFill>
            <w14:prstDash w14:val="solid"/>
            <w14:miter w14:val="0"/>
          </w14:textOutline>
        </w:rPr>
        <w:t>标</w:t>
      </w:r>
      <w:r>
        <w:rPr>
          <w:rFonts w:hint="eastAsia" w:ascii="宋体" w:hAnsi="宋体" w:eastAsia="宋体" w:cs="宋体"/>
          <w:color w:val="auto"/>
          <w:spacing w:val="66"/>
          <w:sz w:val="28"/>
          <w:szCs w:val="28"/>
          <w:highlight w:val="none"/>
        </w:rPr>
        <w:t xml:space="preserve"> </w:t>
      </w:r>
      <w:r>
        <w:rPr>
          <w:rFonts w:hint="eastAsia" w:ascii="宋体" w:hAnsi="宋体" w:eastAsia="宋体" w:cs="宋体"/>
          <w:color w:val="auto"/>
          <w:spacing w:val="-20"/>
          <w:sz w:val="28"/>
          <w:szCs w:val="28"/>
          <w:highlight w:val="none"/>
          <w14:textOutline w14:w="5094" w14:cap="flat" w14:cmpd="sng">
            <w14:solidFill>
              <w14:srgbClr w14:val="000000"/>
            </w14:solidFill>
            <w14:prstDash w14:val="solid"/>
            <w14:miter w14:val="0"/>
          </w14:textOutline>
        </w:rPr>
        <w:t>目</w:t>
      </w:r>
      <w:r>
        <w:rPr>
          <w:rFonts w:hint="eastAsia" w:ascii="宋体" w:hAnsi="宋体" w:eastAsia="宋体" w:cs="宋体"/>
          <w:color w:val="auto"/>
          <w:spacing w:val="14"/>
          <w:sz w:val="28"/>
          <w:szCs w:val="28"/>
          <w:highlight w:val="none"/>
        </w:rPr>
        <w:t xml:space="preserve"> </w:t>
      </w:r>
      <w:r>
        <w:rPr>
          <w:rFonts w:hint="eastAsia" w:ascii="宋体" w:hAnsi="宋体" w:eastAsia="宋体" w:cs="宋体"/>
          <w:color w:val="auto"/>
          <w:spacing w:val="-20"/>
          <w:sz w:val="28"/>
          <w:szCs w:val="28"/>
          <w:highlight w:val="none"/>
          <w14:textOutline w14:w="5094" w14:cap="flat" w14:cmpd="sng">
            <w14:solidFill>
              <w14:srgbClr w14:val="000000"/>
            </w14:solidFill>
            <w14:prstDash w14:val="solid"/>
            <w14:miter w14:val="0"/>
          </w14:textOutline>
        </w:rPr>
        <w:t>录</w:t>
      </w:r>
    </w:p>
    <w:p>
      <w:pPr>
        <w:keepNext w:val="0"/>
        <w:keepLines w:val="0"/>
        <w:pageBreakBefore w:val="0"/>
        <w:widowControl w:val="0"/>
        <w:kinsoku/>
        <w:wordWrap/>
        <w:overflowPunct/>
        <w:topLinePunct w:val="0"/>
        <w:autoSpaceDE w:val="0"/>
        <w:autoSpaceDN w:val="0"/>
        <w:bidi w:val="0"/>
        <w:adjustRightInd/>
        <w:snapToGrid/>
        <w:spacing w:line="251"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51"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51"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51"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51"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51"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(1)施工安装队伍及方案</w:t>
      </w:r>
    </w:p>
    <w:p>
      <w:pPr>
        <w:keepNext w:val="0"/>
        <w:keepLines w:val="0"/>
        <w:pageBreakBefore w:val="0"/>
        <w:widowControl w:val="0"/>
        <w:kinsoku/>
        <w:wordWrap/>
        <w:overflowPunct/>
        <w:topLinePunct w:val="0"/>
        <w:autoSpaceDE w:val="0"/>
        <w:autoSpaceDN w:val="0"/>
        <w:bidi w:val="0"/>
        <w:adjustRightInd/>
        <w:snapToGrid/>
        <w:spacing w:line="306"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79" w:line="185"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5"/>
          <w:sz w:val="24"/>
          <w:szCs w:val="24"/>
          <w:highlight w:val="none"/>
        </w:rPr>
        <w:t>维保及售后服务承诺函</w:t>
      </w:r>
    </w:p>
    <w:p>
      <w:pPr>
        <w:keepNext w:val="0"/>
        <w:keepLines w:val="0"/>
        <w:pageBreakBefore w:val="0"/>
        <w:widowControl w:val="0"/>
        <w:kinsoku/>
        <w:wordWrap/>
        <w:overflowPunct/>
        <w:topLinePunct w:val="0"/>
        <w:autoSpaceDE w:val="0"/>
        <w:autoSpaceDN w:val="0"/>
        <w:bidi w:val="0"/>
        <w:adjustRightInd/>
        <w:snapToGrid/>
        <w:spacing w:line="306"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(3)主要设备质保期承诺函</w:t>
      </w:r>
    </w:p>
    <w:p>
      <w:pPr>
        <w:keepNext w:val="0"/>
        <w:keepLines w:val="0"/>
        <w:pageBreakBefore w:val="0"/>
        <w:widowControl w:val="0"/>
        <w:kinsoku/>
        <w:wordWrap/>
        <w:overflowPunct/>
        <w:topLinePunct w:val="0"/>
        <w:autoSpaceDE w:val="0"/>
        <w:autoSpaceDN w:val="0"/>
        <w:bidi w:val="0"/>
        <w:adjustRightInd/>
        <w:snapToGrid/>
        <w:spacing w:line="306"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(4)技术标评分要求提供的其他材料</w:t>
      </w:r>
    </w:p>
    <w:p>
      <w:pPr>
        <w:keepNext w:val="0"/>
        <w:keepLines w:val="0"/>
        <w:pageBreakBefore w:val="0"/>
        <w:widowControl w:val="0"/>
        <w:kinsoku/>
        <w:wordWrap/>
        <w:overflowPunct/>
        <w:topLinePunct w:val="0"/>
        <w:autoSpaceDE w:val="0"/>
        <w:autoSpaceDN w:val="0"/>
        <w:bidi w:val="0"/>
        <w:adjustRightInd/>
        <w:snapToGrid/>
        <w:spacing w:line="306"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(5)</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4"/>
          <w:sz w:val="24"/>
          <w:szCs w:val="24"/>
          <w:highlight w:val="none"/>
        </w:rPr>
        <w:t>投标人认为需要提交的其它资料</w:t>
      </w: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3"/>
        <w:rPr>
          <w:rFonts w:hint="eastAsia" w:ascii="宋体" w:hAnsi="宋体" w:eastAsia="宋体" w:cs="宋体"/>
          <w:color w:val="auto"/>
          <w:highlight w:val="none"/>
        </w:rPr>
      </w:pPr>
    </w:p>
    <w:p>
      <w:pPr>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before="104" w:line="184" w:lineRule="auto"/>
        <w:ind w:firstLine="2351"/>
        <w:textAlignment w:val="auto"/>
        <w:outlineLvl w:val="9"/>
        <w:rPr>
          <w:rFonts w:hint="eastAsia" w:ascii="宋体" w:hAnsi="宋体" w:eastAsia="宋体" w:cs="宋体"/>
          <w:color w:val="auto"/>
          <w:spacing w:val="-11"/>
          <w:sz w:val="32"/>
          <w:szCs w:val="32"/>
          <w:highlight w:val="none"/>
          <w14:textOutline w14:w="5791" w14:cap="flat" w14:cmpd="sng">
            <w14:solidFill>
              <w14:srgbClr w14:val="000000"/>
            </w14:solidFill>
            <w14:prstDash w14:val="solid"/>
            <w14:miter w14:val="0"/>
          </w14:textOutline>
        </w:rPr>
      </w:pPr>
    </w:p>
    <w:p>
      <w:pPr>
        <w:keepNext w:val="0"/>
        <w:keepLines w:val="0"/>
        <w:pageBreakBefore w:val="0"/>
        <w:widowControl w:val="0"/>
        <w:kinsoku/>
        <w:wordWrap/>
        <w:overflowPunct/>
        <w:topLinePunct w:val="0"/>
        <w:autoSpaceDE w:val="0"/>
        <w:autoSpaceDN w:val="0"/>
        <w:bidi w:val="0"/>
        <w:adjustRightInd/>
        <w:snapToGrid/>
        <w:spacing w:before="104" w:line="184" w:lineRule="auto"/>
        <w:ind w:firstLine="2351"/>
        <w:textAlignment w:val="auto"/>
        <w:outlineLvl w:val="9"/>
        <w:rPr>
          <w:rFonts w:hint="eastAsia" w:ascii="宋体" w:hAnsi="宋体" w:eastAsia="宋体" w:cs="宋体"/>
          <w:color w:val="auto"/>
          <w:sz w:val="32"/>
          <w:szCs w:val="32"/>
          <w:highlight w:val="none"/>
        </w:rPr>
      </w:pPr>
      <w:r>
        <w:rPr>
          <w:rFonts w:hint="eastAsia" w:ascii="宋体" w:hAnsi="宋体" w:eastAsia="宋体" w:cs="宋体"/>
          <w:color w:val="auto"/>
          <w:spacing w:val="-11"/>
          <w:sz w:val="32"/>
          <w:szCs w:val="32"/>
          <w:highlight w:val="none"/>
          <w14:textOutline w14:w="5791" w14:cap="flat" w14:cmpd="sng">
            <w14:solidFill>
              <w14:srgbClr w14:val="000000"/>
            </w14:solidFill>
            <w14:prstDash w14:val="solid"/>
            <w14:miter w14:val="0"/>
          </w14:textOutline>
        </w:rPr>
        <w:t>（一）</w:t>
      </w:r>
      <w:r>
        <w:rPr>
          <w:rFonts w:hint="eastAsia" w:ascii="宋体" w:hAnsi="宋体" w:eastAsia="宋体" w:cs="宋体"/>
          <w:color w:val="auto"/>
          <w:spacing w:val="-12"/>
          <w:sz w:val="32"/>
          <w:szCs w:val="32"/>
          <w:highlight w:val="none"/>
        </w:rPr>
        <w:t xml:space="preserve"> </w:t>
      </w:r>
      <w:r>
        <w:rPr>
          <w:rFonts w:hint="eastAsia" w:ascii="宋体" w:hAnsi="宋体" w:eastAsia="宋体" w:cs="宋体"/>
          <w:color w:val="auto"/>
          <w:spacing w:val="-11"/>
          <w:sz w:val="32"/>
          <w:szCs w:val="32"/>
          <w:highlight w:val="none"/>
          <w14:textOutline w14:w="5791" w14:cap="flat" w14:cmpd="sng">
            <w14:solidFill>
              <w14:srgbClr w14:val="000000"/>
            </w14:solidFill>
            <w14:prstDash w14:val="solid"/>
            <w14:miter w14:val="0"/>
          </w14:textOutline>
        </w:rPr>
        <w:t>施工组织设计（安装方案）</w:t>
      </w:r>
    </w:p>
    <w:p>
      <w:pPr>
        <w:keepNext w:val="0"/>
        <w:keepLines w:val="0"/>
        <w:pageBreakBefore w:val="0"/>
        <w:widowControl w:val="0"/>
        <w:kinsoku/>
        <w:wordWrap/>
        <w:overflowPunct/>
        <w:topLinePunct w:val="0"/>
        <w:autoSpaceDE w:val="0"/>
        <w:autoSpaceDN w:val="0"/>
        <w:bidi w:val="0"/>
        <w:adjustRightInd/>
        <w:snapToGrid/>
        <w:spacing w:before="120" w:line="180" w:lineRule="auto"/>
        <w:ind w:firstLine="2915"/>
        <w:textAlignment w:val="auto"/>
        <w:outlineLvl w:val="9"/>
        <w:rPr>
          <w:rFonts w:hint="eastAsia" w:ascii="宋体" w:hAnsi="宋体" w:eastAsia="宋体" w:cs="宋体"/>
          <w:color w:val="auto"/>
          <w:sz w:val="28"/>
          <w:szCs w:val="28"/>
          <w:highlight w:val="none"/>
        </w:rPr>
      </w:pPr>
      <w:r>
        <w:rPr>
          <w:rFonts w:hint="eastAsia" w:ascii="宋体" w:hAnsi="宋体" w:eastAsia="宋体" w:cs="宋体"/>
          <w:b/>
          <w:bCs/>
          <w:color w:val="auto"/>
          <w:spacing w:val="2"/>
          <w:sz w:val="28"/>
          <w:szCs w:val="28"/>
          <w:highlight w:val="none"/>
        </w:rPr>
        <w:t>（二）维保及售后服务承诺函</w:t>
      </w:r>
    </w:p>
    <w:p>
      <w:pPr>
        <w:keepNext w:val="0"/>
        <w:keepLines w:val="0"/>
        <w:pageBreakBefore w:val="0"/>
        <w:widowControl w:val="0"/>
        <w:kinsoku/>
        <w:wordWrap/>
        <w:overflowPunct/>
        <w:topLinePunct w:val="0"/>
        <w:autoSpaceDE w:val="0"/>
        <w:autoSpaceDN w:val="0"/>
        <w:bidi w:val="0"/>
        <w:adjustRightInd/>
        <w:snapToGrid/>
        <w:spacing w:before="204" w:line="367" w:lineRule="auto"/>
        <w:ind w:right="546" w:firstLine="479"/>
        <w:textAlignment w:val="auto"/>
        <w:outlineLvl w:val="9"/>
        <w:rPr>
          <w:rFonts w:hint="eastAsia" w:ascii="宋体" w:hAnsi="宋体" w:eastAsia="宋体" w:cs="宋体"/>
          <w:color w:val="auto"/>
          <w:spacing w:val="-4"/>
          <w:sz w:val="24"/>
          <w:szCs w:val="24"/>
          <w:highlight w:val="none"/>
        </w:rPr>
      </w:pPr>
      <w:r>
        <w:rPr>
          <w:rFonts w:hint="eastAsia" w:ascii="宋体" w:hAnsi="宋体" w:eastAsia="宋体" w:cs="宋体"/>
          <w:color w:val="auto"/>
          <w:spacing w:val="-2"/>
          <w:sz w:val="24"/>
          <w:szCs w:val="24"/>
          <w:highlight w:val="none"/>
        </w:rPr>
        <w:t>售后服务承诺书包括：质保期限，质保期内、质保期外服务措施，响应时间，</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4"/>
          <w:sz w:val="24"/>
          <w:szCs w:val="24"/>
          <w:highlight w:val="none"/>
        </w:rPr>
        <w:t>配件供应价格清单等。</w:t>
      </w:r>
    </w:p>
    <w:p>
      <w:pPr>
        <w:keepNext w:val="0"/>
        <w:keepLines w:val="0"/>
        <w:pageBreakBefore w:val="0"/>
        <w:widowControl w:val="0"/>
        <w:numPr>
          <w:ilvl w:val="0"/>
          <w:numId w:val="5"/>
        </w:numPr>
        <w:kinsoku/>
        <w:wordWrap/>
        <w:overflowPunct/>
        <w:topLinePunct w:val="0"/>
        <w:autoSpaceDE w:val="0"/>
        <w:autoSpaceDN w:val="0"/>
        <w:bidi w:val="0"/>
        <w:adjustRightInd/>
        <w:snapToGrid/>
        <w:spacing w:before="204" w:line="367" w:lineRule="auto"/>
        <w:ind w:right="546" w:firstLine="479"/>
        <w:textAlignment w:val="auto"/>
        <w:outlineLvl w:val="9"/>
        <w:rPr>
          <w:rFonts w:hint="eastAsia" w:ascii="宋体" w:hAnsi="宋体" w:eastAsia="宋体" w:cs="宋体"/>
          <w:color w:val="auto"/>
          <w:spacing w:val="-18"/>
          <w:sz w:val="24"/>
          <w:szCs w:val="24"/>
          <w:highlight w:val="none"/>
        </w:rPr>
      </w:pPr>
      <w:r>
        <w:rPr>
          <w:rFonts w:hint="eastAsia" w:ascii="宋体" w:hAnsi="宋体" w:eastAsia="宋体" w:cs="宋体"/>
          <w:color w:val="auto"/>
          <w:spacing w:val="-10"/>
          <w:w w:val="97"/>
          <w:sz w:val="24"/>
          <w:szCs w:val="24"/>
          <w:highlight w:val="none"/>
        </w:rPr>
        <w:t>投标人售后服务承诺（承诺内容详见招标文件投标人须知要求，必</w:t>
      </w:r>
      <w:r>
        <w:rPr>
          <w:rFonts w:hint="eastAsia" w:ascii="宋体" w:hAnsi="宋体" w:eastAsia="宋体" w:cs="宋体"/>
          <w:color w:val="auto"/>
          <w:spacing w:val="-7"/>
          <w:sz w:val="24"/>
          <w:szCs w:val="24"/>
          <w:highlight w:val="none"/>
        </w:rPr>
        <w:t>须全部满足</w:t>
      </w:r>
      <w:r>
        <w:rPr>
          <w:rFonts w:hint="eastAsia" w:ascii="宋体" w:hAnsi="宋体" w:eastAsia="宋体" w:cs="宋体"/>
          <w:color w:val="auto"/>
          <w:spacing w:val="-18"/>
          <w:sz w:val="24"/>
          <w:szCs w:val="24"/>
          <w:highlight w:val="none"/>
        </w:rPr>
        <w:t>）</w:t>
      </w:r>
    </w:p>
    <w:p>
      <w:pPr>
        <w:keepNext w:val="0"/>
        <w:keepLines w:val="0"/>
        <w:pageBreakBefore w:val="0"/>
        <w:widowControl w:val="0"/>
        <w:numPr>
          <w:ilvl w:val="0"/>
          <w:numId w:val="5"/>
        </w:numPr>
        <w:kinsoku/>
        <w:wordWrap/>
        <w:overflowPunct/>
        <w:topLinePunct w:val="0"/>
        <w:autoSpaceDE w:val="0"/>
        <w:autoSpaceDN w:val="0"/>
        <w:bidi w:val="0"/>
        <w:adjustRightInd/>
        <w:snapToGrid/>
        <w:spacing w:before="204" w:line="367" w:lineRule="auto"/>
        <w:ind w:right="546" w:firstLine="479"/>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3"/>
          <w:sz w:val="22"/>
          <w:szCs w:val="22"/>
          <w:highlight w:val="none"/>
        </w:rPr>
        <w:t xml:space="preserve"> </w:t>
      </w:r>
      <w:r>
        <w:rPr>
          <w:rFonts w:hint="eastAsia" w:ascii="宋体" w:hAnsi="宋体" w:eastAsia="宋体" w:cs="宋体"/>
          <w:color w:val="auto"/>
          <w:spacing w:val="-10"/>
          <w:w w:val="97"/>
          <w:sz w:val="24"/>
          <w:szCs w:val="24"/>
          <w:highlight w:val="none"/>
        </w:rPr>
        <w:t>售后服务联系表。</w:t>
      </w:r>
    </w:p>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237" w:lineRule="exact"/>
        <w:textAlignment w:val="auto"/>
        <w:outlineLvl w:val="9"/>
        <w:rPr>
          <w:rFonts w:hint="eastAsia" w:ascii="宋体" w:hAnsi="宋体" w:eastAsia="宋体" w:cs="宋体"/>
          <w:color w:val="auto"/>
          <w:highlight w:val="none"/>
        </w:rPr>
      </w:pPr>
    </w:p>
    <w:tbl>
      <w:tblPr>
        <w:tblStyle w:val="42"/>
        <w:tblW w:w="8689" w:type="dxa"/>
        <w:tblInd w:w="3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2399"/>
        <w:gridCol w:w="1849"/>
        <w:gridCol w:w="1735"/>
        <w:gridCol w:w="17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964" w:type="dxa"/>
            <w:tcBorders>
              <w:top w:val="single" w:color="000000" w:sz="2" w:space="0"/>
              <w:lef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3" w:line="185" w:lineRule="auto"/>
              <w:ind w:firstLine="133"/>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序号</w:t>
            </w:r>
          </w:p>
        </w:tc>
        <w:tc>
          <w:tcPr>
            <w:tcW w:w="2399" w:type="dxa"/>
            <w:tcBorders>
              <w:top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3" w:line="185" w:lineRule="auto"/>
              <w:ind w:firstLine="122"/>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售后服务单位名称</w:t>
            </w:r>
          </w:p>
        </w:tc>
        <w:tc>
          <w:tcPr>
            <w:tcW w:w="1849" w:type="dxa"/>
            <w:tcBorders>
              <w:top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3" w:line="185" w:lineRule="auto"/>
              <w:ind w:firstLine="125"/>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联系人</w:t>
            </w:r>
          </w:p>
        </w:tc>
        <w:tc>
          <w:tcPr>
            <w:tcW w:w="1735" w:type="dxa"/>
            <w:tcBorders>
              <w:top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3" w:line="185" w:lineRule="auto"/>
              <w:ind w:firstLine="124"/>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技术职称</w:t>
            </w:r>
          </w:p>
        </w:tc>
        <w:tc>
          <w:tcPr>
            <w:tcW w:w="1742" w:type="dxa"/>
            <w:tcBorders>
              <w:top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3" w:line="185" w:lineRule="auto"/>
              <w:ind w:firstLine="365"/>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964" w:type="dxa"/>
            <w:tcBorders>
              <w:lef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2399" w:type="dxa"/>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1849" w:type="dxa"/>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1735" w:type="dxa"/>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1742" w:type="dxa"/>
            <w:tcBorders>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964" w:type="dxa"/>
            <w:tcBorders>
              <w:lef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2399" w:type="dxa"/>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1849" w:type="dxa"/>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1735" w:type="dxa"/>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1742" w:type="dxa"/>
            <w:tcBorders>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964" w:type="dxa"/>
            <w:tcBorders>
              <w:left w:val="single" w:color="000000" w:sz="2" w:space="0"/>
              <w:bottom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2399" w:type="dxa"/>
            <w:tcBorders>
              <w:bottom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1849" w:type="dxa"/>
            <w:tcBorders>
              <w:bottom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1735" w:type="dxa"/>
            <w:tcBorders>
              <w:bottom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1742" w:type="dxa"/>
            <w:tcBorders>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r>
    </w:tbl>
    <w:p>
      <w:pPr>
        <w:keepNext w:val="0"/>
        <w:keepLines w:val="0"/>
        <w:pageBreakBefore w:val="0"/>
        <w:widowControl w:val="0"/>
        <w:kinsoku/>
        <w:wordWrap/>
        <w:overflowPunct/>
        <w:topLinePunct w:val="0"/>
        <w:autoSpaceDE w:val="0"/>
        <w:autoSpaceDN w:val="0"/>
        <w:bidi w:val="0"/>
        <w:adjustRightInd/>
        <w:snapToGrid/>
        <w:spacing w:line="416"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jc w:val="right"/>
        <w:textAlignment w:val="auto"/>
        <w:outlineLvl w:val="9"/>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投标人</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
          <w:sz w:val="24"/>
          <w:szCs w:val="24"/>
          <w:highlight w:val="none"/>
        </w:rPr>
        <w:t>盖单位章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
          <w:sz w:val="24"/>
          <w:szCs w:val="24"/>
          <w:highlight w:val="none"/>
        </w:rPr>
        <w:t>电子投标文件中须盖单位电子印章）</w:t>
      </w:r>
    </w:p>
    <w:p>
      <w:pPr>
        <w:keepNext w:val="0"/>
        <w:keepLines w:val="0"/>
        <w:pageBreakBefore w:val="0"/>
        <w:widowControl w:val="0"/>
        <w:kinsoku/>
        <w:wordWrap/>
        <w:overflowPunct/>
        <w:topLinePunct w:val="0"/>
        <w:autoSpaceDE w:val="0"/>
        <w:autoSpaceDN w:val="0"/>
        <w:bidi w:val="0"/>
        <w:adjustRightInd/>
        <w:snapToGrid/>
        <w:spacing w:line="488" w:lineRule="exact"/>
        <w:ind w:left="121" w:right="136"/>
        <w:jc w:val="right"/>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jc w:val="righ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签字或盖章</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电子投标文件中须盖电子印章）</w:t>
      </w:r>
    </w:p>
    <w:p>
      <w:pPr>
        <w:keepNext w:val="0"/>
        <w:keepLines w:val="0"/>
        <w:pageBreakBefore w:val="0"/>
        <w:widowControl w:val="0"/>
        <w:kinsoku/>
        <w:wordWrap/>
        <w:overflowPunct/>
        <w:topLinePunct w:val="0"/>
        <w:autoSpaceDE w:val="0"/>
        <w:autoSpaceDN w:val="0"/>
        <w:bidi w:val="0"/>
        <w:adjustRightInd/>
        <w:snapToGrid/>
        <w:spacing w:line="247" w:lineRule="auto"/>
        <w:jc w:val="right"/>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ind w:firstLine="462"/>
        <w:jc w:val="righ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投标日期:</w:t>
      </w:r>
      <w:r>
        <w:rPr>
          <w:rFonts w:hint="eastAsia" w:ascii="宋体" w:hAnsi="宋体" w:eastAsia="宋体" w:cs="宋体"/>
          <w:color w:val="auto"/>
          <w:spacing w:val="11"/>
          <w:sz w:val="24"/>
          <w:szCs w:val="24"/>
          <w:highlight w:val="none"/>
        </w:rPr>
        <w:t xml:space="preserve">   </w:t>
      </w:r>
      <w:r>
        <w:rPr>
          <w:rFonts w:hint="eastAsia" w:ascii="宋体" w:hAnsi="宋体" w:eastAsia="宋体" w:cs="宋体"/>
          <w:color w:val="auto"/>
          <w:spacing w:val="-5"/>
          <w:sz w:val="24"/>
          <w:szCs w:val="24"/>
          <w:highlight w:val="none"/>
        </w:rPr>
        <w:t>年</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5"/>
          <w:sz w:val="24"/>
          <w:szCs w:val="24"/>
          <w:highlight w:val="none"/>
        </w:rPr>
        <w:t>月</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日</w:t>
      </w: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before="120" w:line="180" w:lineRule="auto"/>
        <w:ind w:firstLine="3300"/>
        <w:textAlignment w:val="auto"/>
        <w:outlineLvl w:val="9"/>
        <w:rPr>
          <w:rFonts w:hint="eastAsia" w:ascii="宋体" w:hAnsi="宋体" w:eastAsia="宋体" w:cs="宋体"/>
          <w:color w:val="auto"/>
          <w:sz w:val="28"/>
          <w:szCs w:val="28"/>
          <w:highlight w:val="none"/>
        </w:rPr>
      </w:pPr>
      <w:r>
        <w:rPr>
          <w:rFonts w:hint="eastAsia" w:ascii="宋体" w:hAnsi="宋体" w:eastAsia="宋体" w:cs="宋体"/>
          <w:b/>
          <w:bCs/>
          <w:color w:val="auto"/>
          <w:spacing w:val="2"/>
          <w:sz w:val="28"/>
          <w:szCs w:val="28"/>
          <w:highlight w:val="none"/>
        </w:rPr>
        <w:t>（三）主要设备质保期承诺函</w:t>
      </w:r>
    </w:p>
    <w:p>
      <w:pPr>
        <w:keepNext w:val="0"/>
        <w:keepLines w:val="0"/>
        <w:pageBreakBefore w:val="0"/>
        <w:widowControl w:val="0"/>
        <w:kinsoku/>
        <w:wordWrap/>
        <w:overflowPunct/>
        <w:topLinePunct w:val="0"/>
        <w:autoSpaceDE w:val="0"/>
        <w:autoSpaceDN w:val="0"/>
        <w:bidi w:val="0"/>
        <w:adjustRightInd/>
        <w:snapToGrid/>
        <w:spacing w:line="342"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342"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68" w:line="186"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9"/>
          <w:w w:val="90"/>
          <w:sz w:val="24"/>
          <w:szCs w:val="24"/>
          <w:highlight w:val="none"/>
        </w:rPr>
        <w:t>致</w:t>
      </w:r>
      <w:r>
        <w:rPr>
          <w:rFonts w:hint="eastAsia" w:ascii="宋体" w:hAnsi="宋体" w:eastAsia="宋体" w:cs="宋体"/>
          <w:color w:val="auto"/>
          <w:spacing w:val="-33"/>
          <w:sz w:val="24"/>
          <w:szCs w:val="24"/>
          <w:highlight w:val="none"/>
        </w:rPr>
        <w:t>：</w:t>
      </w:r>
      <w:r>
        <w:rPr>
          <w:rFonts w:hint="eastAsia" w:ascii="宋体" w:hAnsi="宋体" w:eastAsia="宋体" w:cs="宋体"/>
          <w:color w:val="auto"/>
          <w:spacing w:val="3"/>
          <w:sz w:val="24"/>
          <w:szCs w:val="24"/>
          <w:highlight w:val="none"/>
          <w:u w:val="single" w:color="auto"/>
        </w:rPr>
        <w:t xml:space="preserve">       </w:t>
      </w:r>
      <w:r>
        <w:rPr>
          <w:rFonts w:hint="eastAsia" w:ascii="宋体" w:hAnsi="宋体" w:eastAsia="宋体" w:cs="宋体"/>
          <w:color w:val="auto"/>
          <w:spacing w:val="-33"/>
          <w:sz w:val="24"/>
          <w:szCs w:val="24"/>
          <w:highlight w:val="none"/>
          <w:u w:val="single" w:color="auto"/>
        </w:rPr>
        <w:t>（</w:t>
      </w:r>
      <w:r>
        <w:rPr>
          <w:rFonts w:hint="eastAsia" w:ascii="宋体" w:hAnsi="宋体" w:eastAsia="宋体" w:cs="宋体"/>
          <w:color w:val="auto"/>
          <w:spacing w:val="-19"/>
          <w:w w:val="90"/>
          <w:sz w:val="24"/>
          <w:szCs w:val="24"/>
          <w:highlight w:val="none"/>
          <w:u w:val="single" w:color="auto"/>
        </w:rPr>
        <w:t>招标人名称）</w:t>
      </w:r>
      <w:r>
        <w:rPr>
          <w:rFonts w:hint="eastAsia" w:ascii="宋体" w:hAnsi="宋体" w:eastAsia="宋体" w:cs="宋体"/>
          <w:color w:val="auto"/>
          <w:spacing w:val="2"/>
          <w:w w:val="101"/>
          <w:sz w:val="24"/>
          <w:szCs w:val="24"/>
          <w:highlight w:val="none"/>
          <w:u w:val="single" w:color="auto"/>
        </w:rPr>
        <w:t xml:space="preserve">  </w:t>
      </w:r>
    </w:p>
    <w:p>
      <w:pPr>
        <w:keepNext w:val="0"/>
        <w:keepLines w:val="0"/>
        <w:pageBreakBefore w:val="0"/>
        <w:widowControl w:val="0"/>
        <w:kinsoku/>
        <w:wordWrap/>
        <w:overflowPunct/>
        <w:topLinePunct w:val="0"/>
        <w:autoSpaceDE w:val="0"/>
        <w:autoSpaceDN w:val="0"/>
        <w:bidi w:val="0"/>
        <w:adjustRightInd/>
        <w:snapToGrid/>
        <w:spacing w:line="370"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tabs>
          <w:tab w:val="left" w:pos="1311"/>
        </w:tabs>
        <w:kinsoku/>
        <w:wordWrap/>
        <w:overflowPunct/>
        <w:topLinePunct w:val="0"/>
        <w:autoSpaceDE w:val="0"/>
        <w:autoSpaceDN w:val="0"/>
        <w:bidi w:val="0"/>
        <w:adjustRightInd/>
        <w:snapToGrid/>
        <w:spacing w:before="68" w:line="313" w:lineRule="auto"/>
        <w:ind w:left="1" w:right="252" w:firstLine="465"/>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7"/>
          <w:sz w:val="24"/>
          <w:szCs w:val="24"/>
          <w:highlight w:val="none"/>
          <w:u w:val="single" w:color="auto"/>
        </w:rPr>
        <w:t>（投标单位名称）</w:t>
      </w:r>
      <w:r>
        <w:rPr>
          <w:rFonts w:hint="eastAsia" w:ascii="宋体" w:hAnsi="宋体" w:eastAsia="宋体" w:cs="宋体"/>
          <w:color w:val="auto"/>
          <w:spacing w:val="35"/>
          <w:sz w:val="24"/>
          <w:szCs w:val="24"/>
          <w:highlight w:val="none"/>
          <w:u w:val="single" w:color="auto"/>
        </w:rPr>
        <w:t xml:space="preserve">   </w:t>
      </w:r>
      <w:r>
        <w:rPr>
          <w:rFonts w:hint="eastAsia" w:ascii="宋体" w:hAnsi="宋体" w:eastAsia="宋体" w:cs="宋体"/>
          <w:color w:val="auto"/>
          <w:spacing w:val="-7"/>
          <w:sz w:val="24"/>
          <w:szCs w:val="24"/>
          <w:highlight w:val="none"/>
        </w:rPr>
        <w:t>承诺，若我单位中标，我单位承诺，我单位在本工程所投</w:t>
      </w:r>
      <w:r>
        <w:rPr>
          <w:rFonts w:hint="eastAsia" w:ascii="宋体" w:hAnsi="宋体" w:eastAsia="宋体" w:cs="宋体"/>
          <w:color w:val="auto"/>
          <w:spacing w:val="-3"/>
          <w:sz w:val="24"/>
          <w:szCs w:val="24"/>
          <w:highlight w:val="none"/>
        </w:rPr>
        <w:t>主要设备免费质保期</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3"/>
          <w:sz w:val="24"/>
          <w:szCs w:val="24"/>
          <w:highlight w:val="none"/>
        </w:rPr>
        <w:t>年。</w:t>
      </w:r>
      <w:r>
        <w:rPr>
          <w:rFonts w:hint="eastAsia" w:ascii="宋体" w:hAnsi="宋体" w:eastAsia="宋体" w:cs="宋体"/>
          <w:color w:val="auto"/>
          <w:spacing w:val="-47"/>
          <w:sz w:val="24"/>
          <w:szCs w:val="24"/>
          <w:highlight w:val="none"/>
        </w:rPr>
        <w:t xml:space="preserve"> </w:t>
      </w:r>
      <w:r>
        <w:rPr>
          <w:rFonts w:hint="eastAsia" w:ascii="宋体" w:hAnsi="宋体" w:eastAsia="宋体" w:cs="宋体"/>
          <w:color w:val="auto"/>
          <w:spacing w:val="-3"/>
          <w:sz w:val="24"/>
          <w:szCs w:val="24"/>
          <w:highlight w:val="none"/>
        </w:rPr>
        <w:t>若在后期实施中未达</w:t>
      </w:r>
      <w:r>
        <w:rPr>
          <w:rFonts w:hint="eastAsia" w:ascii="宋体" w:hAnsi="宋体" w:eastAsia="宋体" w:cs="宋体"/>
          <w:color w:val="auto"/>
          <w:spacing w:val="-2"/>
          <w:sz w:val="24"/>
          <w:szCs w:val="24"/>
          <w:highlight w:val="none"/>
        </w:rPr>
        <w:t>到承诺期限，则自愿扣除合同价</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2"/>
          <w:sz w:val="24"/>
          <w:szCs w:val="24"/>
          <w:highlight w:val="none"/>
        </w:rPr>
        <w:t>10%的质保金。</w:t>
      </w:r>
    </w:p>
    <w:p>
      <w:pPr>
        <w:keepNext w:val="0"/>
        <w:keepLines w:val="0"/>
        <w:pageBreakBefore w:val="0"/>
        <w:widowControl w:val="0"/>
        <w:kinsoku/>
        <w:wordWrap/>
        <w:overflowPunct/>
        <w:topLinePunct w:val="0"/>
        <w:autoSpaceDE w:val="0"/>
        <w:autoSpaceDN w:val="0"/>
        <w:bidi w:val="0"/>
        <w:adjustRightInd/>
        <w:snapToGrid/>
        <w:spacing w:before="86" w:line="432" w:lineRule="exact"/>
        <w:ind w:firstLine="48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0"/>
          <w:w w:val="99"/>
          <w:position w:val="15"/>
          <w:sz w:val="24"/>
          <w:szCs w:val="24"/>
          <w:highlight w:val="none"/>
        </w:rPr>
        <w:t>其他补充说明：</w:t>
      </w:r>
      <w:r>
        <w:rPr>
          <w:rFonts w:hint="eastAsia" w:ascii="宋体" w:hAnsi="宋体" w:eastAsia="宋体" w:cs="宋体"/>
          <w:color w:val="auto"/>
          <w:spacing w:val="9"/>
          <w:position w:val="15"/>
          <w:sz w:val="24"/>
          <w:szCs w:val="24"/>
          <w:highlight w:val="none"/>
          <w:u w:val="single" w:color="auto"/>
        </w:rPr>
        <w:t xml:space="preserve">          </w:t>
      </w:r>
      <w:r>
        <w:rPr>
          <w:rFonts w:hint="eastAsia" w:ascii="宋体" w:hAnsi="宋体" w:eastAsia="宋体" w:cs="宋体"/>
          <w:color w:val="auto"/>
          <w:spacing w:val="-10"/>
          <w:w w:val="99"/>
          <w:position w:val="15"/>
          <w:sz w:val="24"/>
          <w:szCs w:val="24"/>
          <w:highlight w:val="none"/>
          <w:u w:val="single" w:color="auto"/>
        </w:rPr>
        <w:t>{投标人补充说明事项}</w:t>
      </w:r>
    </w:p>
    <w:p>
      <w:pPr>
        <w:keepNext w:val="0"/>
        <w:keepLines w:val="0"/>
        <w:pageBreakBefore w:val="0"/>
        <w:widowControl w:val="0"/>
        <w:kinsoku/>
        <w:wordWrap/>
        <w:overflowPunct/>
        <w:topLinePunct w:val="0"/>
        <w:autoSpaceDE w:val="0"/>
        <w:autoSpaceDN w:val="0"/>
        <w:bidi w:val="0"/>
        <w:adjustRightInd/>
        <w:snapToGrid/>
        <w:spacing w:line="204" w:lineRule="auto"/>
        <w:ind w:firstLine="479"/>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特此承诺。</w:t>
      </w:r>
    </w:p>
    <w:p>
      <w:pPr>
        <w:keepNext w:val="0"/>
        <w:keepLines w:val="0"/>
        <w:pageBreakBefore w:val="0"/>
        <w:widowControl w:val="0"/>
        <w:kinsoku/>
        <w:wordWrap/>
        <w:overflowPunct/>
        <w:topLinePunct w:val="0"/>
        <w:autoSpaceDE w:val="0"/>
        <w:autoSpaceDN w:val="0"/>
        <w:bidi w:val="0"/>
        <w:adjustRightInd/>
        <w:snapToGrid/>
        <w:spacing w:before="287" w:line="185" w:lineRule="auto"/>
        <w:ind w:firstLine="462"/>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投标人</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
          <w:sz w:val="24"/>
          <w:szCs w:val="24"/>
          <w:highlight w:val="none"/>
        </w:rPr>
        <w:t>盖单位章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
          <w:sz w:val="24"/>
          <w:szCs w:val="24"/>
          <w:highlight w:val="none"/>
        </w:rPr>
        <w:t>电子投标文件中须盖单位电子印章）</w:t>
      </w:r>
    </w:p>
    <w:p>
      <w:pPr>
        <w:keepNext w:val="0"/>
        <w:keepLines w:val="0"/>
        <w:pageBreakBefore w:val="0"/>
        <w:widowControl w:val="0"/>
        <w:kinsoku/>
        <w:wordWrap/>
        <w:overflowPunct/>
        <w:topLinePunct w:val="0"/>
        <w:autoSpaceDE w:val="0"/>
        <w:autoSpaceDN w:val="0"/>
        <w:bidi w:val="0"/>
        <w:adjustRightInd/>
        <w:snapToGrid/>
        <w:spacing w:line="247"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79" w:line="185" w:lineRule="auto"/>
        <w:ind w:firstLine="46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签字或盖章</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电子投标文件中须盖电子印章）</w:t>
      </w:r>
    </w:p>
    <w:p>
      <w:pPr>
        <w:keepNext w:val="0"/>
        <w:keepLines w:val="0"/>
        <w:pageBreakBefore w:val="0"/>
        <w:widowControl w:val="0"/>
        <w:kinsoku/>
        <w:wordWrap/>
        <w:overflowPunct/>
        <w:topLinePunct w:val="0"/>
        <w:autoSpaceDE w:val="0"/>
        <w:autoSpaceDN w:val="0"/>
        <w:bidi w:val="0"/>
        <w:adjustRightInd/>
        <w:snapToGrid/>
        <w:spacing w:line="247"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79" w:line="185" w:lineRule="auto"/>
        <w:ind w:firstLine="462"/>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投标日期:</w:t>
      </w:r>
      <w:r>
        <w:rPr>
          <w:rFonts w:hint="eastAsia" w:ascii="宋体" w:hAnsi="宋体" w:eastAsia="宋体" w:cs="宋体"/>
          <w:color w:val="auto"/>
          <w:spacing w:val="11"/>
          <w:sz w:val="24"/>
          <w:szCs w:val="24"/>
          <w:highlight w:val="none"/>
        </w:rPr>
        <w:t xml:space="preserve">   </w:t>
      </w:r>
      <w:r>
        <w:rPr>
          <w:rFonts w:hint="eastAsia" w:ascii="宋体" w:hAnsi="宋体" w:eastAsia="宋体" w:cs="宋体"/>
          <w:color w:val="auto"/>
          <w:spacing w:val="-5"/>
          <w:sz w:val="24"/>
          <w:szCs w:val="24"/>
          <w:highlight w:val="none"/>
        </w:rPr>
        <w:t>年</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5"/>
          <w:sz w:val="24"/>
          <w:szCs w:val="24"/>
          <w:highlight w:val="none"/>
        </w:rPr>
        <w:t>月</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日</w:t>
      </w: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before="120" w:line="180" w:lineRule="auto"/>
        <w:ind w:firstLine="1648"/>
        <w:textAlignment w:val="auto"/>
        <w:outlineLvl w:val="9"/>
        <w:rPr>
          <w:rFonts w:hint="eastAsia" w:ascii="宋体" w:hAnsi="宋体" w:eastAsia="宋体" w:cs="宋体"/>
          <w:color w:val="auto"/>
          <w:sz w:val="21"/>
          <w:highlight w:val="none"/>
        </w:rPr>
      </w:pPr>
      <w:r>
        <w:rPr>
          <w:rFonts w:hint="eastAsia" w:ascii="宋体" w:hAnsi="宋体" w:eastAsia="宋体" w:cs="宋体"/>
          <w:b/>
          <w:bCs/>
          <w:color w:val="auto"/>
          <w:spacing w:val="1"/>
          <w:sz w:val="28"/>
          <w:szCs w:val="28"/>
          <w:highlight w:val="none"/>
        </w:rPr>
        <w:t>（六）投标人认为需要提交的其它资料</w:t>
      </w:r>
    </w:p>
    <w:p>
      <w:pPr>
        <w:keepNext w:val="0"/>
        <w:keepLines w:val="0"/>
        <w:pageBreakBefore w:val="0"/>
        <w:widowControl w:val="0"/>
        <w:kinsoku/>
        <w:wordWrap/>
        <w:overflowPunct/>
        <w:topLinePunct w:val="0"/>
        <w:autoSpaceDE w:val="0"/>
        <w:autoSpaceDN w:val="0"/>
        <w:bidi w:val="0"/>
        <w:adjustRightInd/>
        <w:snapToGrid/>
        <w:spacing w:before="120" w:line="180" w:lineRule="auto"/>
        <w:ind w:firstLine="3182"/>
        <w:textAlignment w:val="auto"/>
        <w:outlineLvl w:val="9"/>
        <w:rPr>
          <w:rFonts w:hint="eastAsia" w:ascii="宋体" w:hAnsi="宋体" w:eastAsia="宋体" w:cs="宋体"/>
          <w:color w:val="auto"/>
          <w:highlight w:val="none"/>
        </w:rPr>
      </w:pPr>
      <w:r>
        <w:rPr>
          <w:rFonts w:hint="eastAsia" w:ascii="宋体" w:hAnsi="宋体" w:eastAsia="宋体" w:cs="宋体"/>
          <w:b/>
          <w:bCs/>
          <w:color w:val="auto"/>
          <w:spacing w:val="-1"/>
          <w:sz w:val="28"/>
          <w:szCs w:val="28"/>
          <w:highlight w:val="none"/>
        </w:rPr>
        <w:t>投标货物基本参数表</w:t>
      </w:r>
    </w:p>
    <w:p>
      <w:pPr>
        <w:keepNext w:val="0"/>
        <w:keepLines w:val="0"/>
        <w:pageBreakBefore w:val="0"/>
        <w:widowControl w:val="0"/>
        <w:kinsoku/>
        <w:wordWrap/>
        <w:overflowPunct/>
        <w:topLinePunct w:val="0"/>
        <w:autoSpaceDE w:val="0"/>
        <w:autoSpaceDN w:val="0"/>
        <w:bidi w:val="0"/>
        <w:adjustRightInd/>
        <w:snapToGrid/>
        <w:spacing w:line="161" w:lineRule="exact"/>
        <w:textAlignment w:val="auto"/>
        <w:outlineLvl w:val="9"/>
        <w:rPr>
          <w:rFonts w:hint="eastAsia" w:ascii="宋体" w:hAnsi="宋体" w:eastAsia="宋体" w:cs="宋体"/>
          <w:color w:val="auto"/>
          <w:highlight w:val="none"/>
        </w:rPr>
      </w:pPr>
    </w:p>
    <w:tbl>
      <w:tblPr>
        <w:tblStyle w:val="42"/>
        <w:tblW w:w="499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36"/>
        <w:gridCol w:w="852"/>
        <w:gridCol w:w="615"/>
        <w:gridCol w:w="891"/>
        <w:gridCol w:w="1549"/>
        <w:gridCol w:w="1076"/>
        <w:gridCol w:w="951"/>
        <w:gridCol w:w="816"/>
        <w:gridCol w:w="954"/>
        <w:gridCol w:w="71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299" w:type="pct"/>
            <w:textDirection w:val="tbRlV"/>
            <w:vAlign w:val="top"/>
          </w:tcPr>
          <w:p>
            <w:pPr>
              <w:keepNext w:val="0"/>
              <w:keepLines w:val="0"/>
              <w:pageBreakBefore w:val="0"/>
              <w:widowControl w:val="0"/>
              <w:kinsoku/>
              <w:wordWrap/>
              <w:overflowPunct/>
              <w:topLinePunct w:val="0"/>
              <w:autoSpaceDE w:val="0"/>
              <w:autoSpaceDN w:val="0"/>
              <w:bidi w:val="0"/>
              <w:adjustRightInd/>
              <w:snapToGrid/>
              <w:spacing w:before="160" w:line="180" w:lineRule="auto"/>
              <w:ind w:left="0" w:leftChars="0" w:firstLine="0" w:firstLineChars="0"/>
              <w:textAlignment w:val="auto"/>
              <w:outlineLvl w:val="9"/>
              <w:rPr>
                <w:rFonts w:hint="eastAsia" w:ascii="宋体" w:hAnsi="宋体" w:eastAsia="宋体" w:cs="宋体"/>
                <w:color w:val="auto"/>
                <w:sz w:val="18"/>
                <w:szCs w:val="18"/>
                <w:highlight w:val="none"/>
              </w:rPr>
            </w:pPr>
            <w:r>
              <w:rPr>
                <w:rFonts w:hint="eastAsia" w:ascii="宋体" w:hAnsi="宋体" w:eastAsia="宋体" w:cs="宋体"/>
                <w:b/>
                <w:bCs/>
                <w:color w:val="auto"/>
                <w:spacing w:val="11"/>
                <w:sz w:val="18"/>
                <w:szCs w:val="18"/>
                <w:highlight w:val="none"/>
              </w:rPr>
              <w:t>序</w:t>
            </w:r>
            <w:r>
              <w:rPr>
                <w:rFonts w:hint="eastAsia" w:ascii="宋体" w:hAnsi="宋体" w:eastAsia="宋体" w:cs="宋体"/>
                <w:color w:val="auto"/>
                <w:spacing w:val="-26"/>
                <w:sz w:val="18"/>
                <w:szCs w:val="18"/>
                <w:highlight w:val="none"/>
              </w:rPr>
              <w:t xml:space="preserve"> </w:t>
            </w:r>
            <w:r>
              <w:rPr>
                <w:rFonts w:hint="eastAsia" w:ascii="宋体" w:hAnsi="宋体" w:eastAsia="宋体" w:cs="宋体"/>
                <w:b/>
                <w:bCs/>
                <w:color w:val="auto"/>
                <w:spacing w:val="11"/>
                <w:sz w:val="18"/>
                <w:szCs w:val="18"/>
                <w:highlight w:val="none"/>
              </w:rPr>
              <w:t>号</w:t>
            </w:r>
          </w:p>
        </w:tc>
        <w:tc>
          <w:tcPr>
            <w:tcW w:w="475" w:type="pct"/>
            <w:vAlign w:val="top"/>
          </w:tcPr>
          <w:p>
            <w:pPr>
              <w:keepNext w:val="0"/>
              <w:keepLines w:val="0"/>
              <w:pageBreakBefore w:val="0"/>
              <w:widowControl w:val="0"/>
              <w:kinsoku/>
              <w:wordWrap/>
              <w:overflowPunct/>
              <w:topLinePunct w:val="0"/>
              <w:autoSpaceDE w:val="0"/>
              <w:autoSpaceDN w:val="0"/>
              <w:bidi w:val="0"/>
              <w:adjustRightInd/>
              <w:snapToGrid/>
              <w:spacing w:before="77" w:line="180" w:lineRule="auto"/>
              <w:textAlignment w:val="auto"/>
              <w:outlineLvl w:val="9"/>
              <w:rPr>
                <w:rFonts w:hint="eastAsia" w:ascii="宋体" w:hAnsi="宋体" w:eastAsia="宋体" w:cs="宋体"/>
                <w:color w:val="auto"/>
                <w:sz w:val="18"/>
                <w:szCs w:val="18"/>
                <w:highlight w:val="none"/>
              </w:rPr>
            </w:pPr>
            <w:r>
              <w:rPr>
                <w:rFonts w:hint="eastAsia" w:ascii="宋体" w:hAnsi="宋体" w:eastAsia="宋体" w:cs="宋体"/>
                <w:b/>
                <w:bCs/>
                <w:color w:val="auto"/>
                <w:spacing w:val="-1"/>
                <w:sz w:val="18"/>
                <w:szCs w:val="18"/>
                <w:highlight w:val="none"/>
              </w:rPr>
              <w:t>层站数</w:t>
            </w:r>
          </w:p>
        </w:tc>
        <w:tc>
          <w:tcPr>
            <w:tcW w:w="343" w:type="pct"/>
            <w:vAlign w:val="top"/>
          </w:tcPr>
          <w:p>
            <w:pPr>
              <w:keepNext w:val="0"/>
              <w:keepLines w:val="0"/>
              <w:pageBreakBefore w:val="0"/>
              <w:widowControl w:val="0"/>
              <w:kinsoku/>
              <w:wordWrap/>
              <w:overflowPunct/>
              <w:topLinePunct w:val="0"/>
              <w:autoSpaceDE w:val="0"/>
              <w:autoSpaceDN w:val="0"/>
              <w:bidi w:val="0"/>
              <w:adjustRightInd/>
              <w:snapToGrid/>
              <w:spacing w:before="163" w:line="170" w:lineRule="auto"/>
              <w:textAlignment w:val="auto"/>
              <w:outlineLvl w:val="9"/>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数量</w:t>
            </w:r>
          </w:p>
        </w:tc>
        <w:tc>
          <w:tcPr>
            <w:tcW w:w="497" w:type="pct"/>
            <w:vAlign w:val="top"/>
          </w:tcPr>
          <w:p>
            <w:pPr>
              <w:keepNext w:val="0"/>
              <w:keepLines w:val="0"/>
              <w:pageBreakBefore w:val="0"/>
              <w:widowControl w:val="0"/>
              <w:kinsoku/>
              <w:wordWrap/>
              <w:overflowPunct/>
              <w:topLinePunct w:val="0"/>
              <w:autoSpaceDE w:val="0"/>
              <w:autoSpaceDN w:val="0"/>
              <w:bidi w:val="0"/>
              <w:adjustRightInd/>
              <w:snapToGrid/>
              <w:spacing w:before="162" w:line="170" w:lineRule="auto"/>
              <w:ind w:firstLine="10"/>
              <w:textAlignment w:val="auto"/>
              <w:outlineLvl w:val="9"/>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提升速度</w:t>
            </w:r>
          </w:p>
        </w:tc>
        <w:tc>
          <w:tcPr>
            <w:tcW w:w="864" w:type="pct"/>
            <w:vAlign w:val="top"/>
          </w:tcPr>
          <w:p>
            <w:pPr>
              <w:keepNext w:val="0"/>
              <w:keepLines w:val="0"/>
              <w:pageBreakBefore w:val="0"/>
              <w:widowControl w:val="0"/>
              <w:kinsoku/>
              <w:wordWrap/>
              <w:overflowPunct/>
              <w:topLinePunct w:val="0"/>
              <w:autoSpaceDE w:val="0"/>
              <w:autoSpaceDN w:val="0"/>
              <w:bidi w:val="0"/>
              <w:adjustRightInd/>
              <w:snapToGrid/>
              <w:spacing w:before="77" w:line="180" w:lineRule="auto"/>
              <w:textAlignment w:val="auto"/>
              <w:outlineLvl w:val="9"/>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最大载重（人）</w:t>
            </w:r>
          </w:p>
        </w:tc>
        <w:tc>
          <w:tcPr>
            <w:tcW w:w="600" w:type="pct"/>
            <w:vAlign w:val="top"/>
          </w:tcPr>
          <w:p>
            <w:pPr>
              <w:keepNext w:val="0"/>
              <w:keepLines w:val="0"/>
              <w:pageBreakBefore w:val="0"/>
              <w:widowControl w:val="0"/>
              <w:kinsoku/>
              <w:wordWrap/>
              <w:overflowPunct/>
              <w:topLinePunct w:val="0"/>
              <w:autoSpaceDE w:val="0"/>
              <w:autoSpaceDN w:val="0"/>
              <w:bidi w:val="0"/>
              <w:adjustRightInd/>
              <w:snapToGrid/>
              <w:spacing w:before="163" w:line="180" w:lineRule="auto"/>
              <w:ind w:firstLine="7"/>
              <w:textAlignment w:val="auto"/>
              <w:outlineLvl w:val="9"/>
              <w:rPr>
                <w:rFonts w:hint="eastAsia" w:ascii="宋体" w:hAnsi="宋体" w:eastAsia="宋体" w:cs="宋体"/>
                <w:color w:val="auto"/>
                <w:sz w:val="18"/>
                <w:szCs w:val="18"/>
                <w:highlight w:val="none"/>
              </w:rPr>
            </w:pPr>
            <w:r>
              <w:rPr>
                <w:rFonts w:hint="eastAsia" w:ascii="宋体" w:hAnsi="宋体" w:eastAsia="宋体" w:cs="宋体"/>
                <w:b/>
                <w:bCs/>
                <w:color w:val="auto"/>
                <w:spacing w:val="-1"/>
                <w:sz w:val="18"/>
                <w:szCs w:val="18"/>
                <w:highlight w:val="none"/>
              </w:rPr>
              <w:t>开门方式</w:t>
            </w:r>
          </w:p>
        </w:tc>
        <w:tc>
          <w:tcPr>
            <w:tcW w:w="530" w:type="pct"/>
            <w:vAlign w:val="top"/>
          </w:tcPr>
          <w:p>
            <w:pPr>
              <w:keepNext w:val="0"/>
              <w:keepLines w:val="0"/>
              <w:pageBreakBefore w:val="0"/>
              <w:widowControl w:val="0"/>
              <w:kinsoku/>
              <w:wordWrap/>
              <w:overflowPunct/>
              <w:topLinePunct w:val="0"/>
              <w:autoSpaceDE w:val="0"/>
              <w:autoSpaceDN w:val="0"/>
              <w:bidi w:val="0"/>
              <w:adjustRightInd/>
              <w:snapToGrid/>
              <w:spacing w:before="162" w:line="170" w:lineRule="auto"/>
              <w:ind w:firstLine="12"/>
              <w:textAlignment w:val="auto"/>
              <w:outlineLvl w:val="9"/>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提升高度</w:t>
            </w:r>
          </w:p>
        </w:tc>
        <w:tc>
          <w:tcPr>
            <w:tcW w:w="455" w:type="pct"/>
            <w:vAlign w:val="top"/>
          </w:tcPr>
          <w:p>
            <w:pPr>
              <w:keepNext w:val="0"/>
              <w:keepLines w:val="0"/>
              <w:pageBreakBefore w:val="0"/>
              <w:widowControl w:val="0"/>
              <w:kinsoku/>
              <w:wordWrap/>
              <w:overflowPunct/>
              <w:topLinePunct w:val="0"/>
              <w:autoSpaceDE w:val="0"/>
              <w:autoSpaceDN w:val="0"/>
              <w:bidi w:val="0"/>
              <w:adjustRightInd/>
              <w:snapToGrid/>
              <w:spacing w:before="26" w:line="170" w:lineRule="auto"/>
              <w:ind w:firstLine="11"/>
              <w:textAlignment w:val="auto"/>
              <w:outlineLvl w:val="9"/>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轿厢净</w:t>
            </w:r>
          </w:p>
          <w:p>
            <w:pPr>
              <w:keepNext w:val="0"/>
              <w:keepLines w:val="0"/>
              <w:pageBreakBefore w:val="0"/>
              <w:widowControl w:val="0"/>
              <w:kinsoku/>
              <w:wordWrap/>
              <w:overflowPunct/>
              <w:topLinePunct w:val="0"/>
              <w:autoSpaceDE w:val="0"/>
              <w:autoSpaceDN w:val="0"/>
              <w:bidi w:val="0"/>
              <w:adjustRightInd/>
              <w:snapToGrid/>
              <w:spacing w:before="1" w:line="204" w:lineRule="auto"/>
              <w:ind w:firstLine="11"/>
              <w:textAlignment w:val="auto"/>
              <w:outlineLvl w:val="9"/>
              <w:rPr>
                <w:rFonts w:hint="eastAsia" w:ascii="宋体" w:hAnsi="宋体" w:eastAsia="宋体" w:cs="宋体"/>
                <w:color w:val="auto"/>
                <w:sz w:val="18"/>
                <w:szCs w:val="18"/>
                <w:highlight w:val="none"/>
              </w:rPr>
            </w:pPr>
            <w:r>
              <w:rPr>
                <w:rFonts w:hint="eastAsia" w:ascii="宋体" w:hAnsi="宋体" w:eastAsia="宋体" w:cs="宋体"/>
                <w:b/>
                <w:bCs/>
                <w:color w:val="auto"/>
                <w:spacing w:val="-1"/>
                <w:sz w:val="18"/>
                <w:szCs w:val="18"/>
                <w:highlight w:val="none"/>
              </w:rPr>
              <w:t>尺寸</w:t>
            </w:r>
          </w:p>
        </w:tc>
        <w:tc>
          <w:tcPr>
            <w:tcW w:w="532" w:type="pct"/>
            <w:vAlign w:val="top"/>
          </w:tcPr>
          <w:p>
            <w:pPr>
              <w:keepNext w:val="0"/>
              <w:keepLines w:val="0"/>
              <w:pageBreakBefore w:val="0"/>
              <w:widowControl w:val="0"/>
              <w:kinsoku/>
              <w:wordWrap/>
              <w:overflowPunct/>
              <w:topLinePunct w:val="0"/>
              <w:autoSpaceDE w:val="0"/>
              <w:autoSpaceDN w:val="0"/>
              <w:bidi w:val="0"/>
              <w:adjustRightInd/>
              <w:snapToGrid/>
              <w:spacing w:before="162" w:line="168" w:lineRule="auto"/>
              <w:ind w:firstLine="17"/>
              <w:textAlignment w:val="auto"/>
              <w:outlineLvl w:val="9"/>
              <w:rPr>
                <w:rFonts w:hint="eastAsia" w:ascii="宋体" w:hAnsi="宋体" w:eastAsia="宋体" w:cs="宋体"/>
                <w:color w:val="auto"/>
                <w:sz w:val="18"/>
                <w:szCs w:val="18"/>
                <w:highlight w:val="none"/>
              </w:rPr>
            </w:pPr>
            <w:r>
              <w:rPr>
                <w:rFonts w:hint="eastAsia" w:ascii="宋体" w:hAnsi="宋体" w:eastAsia="宋体" w:cs="宋体"/>
                <w:b/>
                <w:bCs/>
                <w:color w:val="auto"/>
                <w:spacing w:val="-2"/>
                <w:sz w:val="18"/>
                <w:szCs w:val="18"/>
                <w:highlight w:val="none"/>
              </w:rPr>
              <w:t>电梯类</w:t>
            </w:r>
            <w:r>
              <w:rPr>
                <w:rFonts w:hint="eastAsia" w:ascii="宋体" w:hAnsi="宋体" w:eastAsia="宋体" w:cs="宋体"/>
                <w:b/>
                <w:bCs/>
                <w:color w:val="auto"/>
                <w:sz w:val="18"/>
                <w:szCs w:val="18"/>
                <w:highlight w:val="none"/>
              </w:rPr>
              <w:t>型</w:t>
            </w:r>
          </w:p>
        </w:tc>
        <w:tc>
          <w:tcPr>
            <w:tcW w:w="400" w:type="pct"/>
            <w:vAlign w:val="top"/>
          </w:tcPr>
          <w:p>
            <w:pPr>
              <w:keepNext w:val="0"/>
              <w:keepLines w:val="0"/>
              <w:pageBreakBefore w:val="0"/>
              <w:widowControl w:val="0"/>
              <w:kinsoku/>
              <w:wordWrap/>
              <w:overflowPunct/>
              <w:topLinePunct w:val="0"/>
              <w:autoSpaceDE w:val="0"/>
              <w:autoSpaceDN w:val="0"/>
              <w:bidi w:val="0"/>
              <w:adjustRightInd/>
              <w:snapToGrid/>
              <w:spacing w:before="77" w:line="180" w:lineRule="auto"/>
              <w:textAlignment w:val="auto"/>
              <w:outlineLvl w:val="9"/>
              <w:rPr>
                <w:rFonts w:hint="eastAsia" w:ascii="宋体" w:hAnsi="宋体" w:eastAsia="宋体" w:cs="宋体"/>
                <w:color w:val="auto"/>
                <w:sz w:val="18"/>
                <w:szCs w:val="18"/>
                <w:highlight w:val="none"/>
              </w:rPr>
            </w:pPr>
            <w:r>
              <w:rPr>
                <w:rFonts w:hint="eastAsia" w:ascii="宋体" w:hAnsi="宋体" w:eastAsia="宋体" w:cs="宋体"/>
                <w:b/>
                <w:bCs/>
                <w:color w:val="auto"/>
                <w:spacing w:val="-3"/>
                <w:sz w:val="18"/>
                <w:szCs w:val="18"/>
                <w:highlight w:val="none"/>
              </w:rPr>
              <w:t>品牌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99"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343"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97"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864"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60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5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5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532"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0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299"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343"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97"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864"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60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5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5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532"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0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99"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343"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97"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864"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60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5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5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532"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0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99"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343"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97"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864"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60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5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5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532"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0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299"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343"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97"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864"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60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5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5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532"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0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99"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343"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97"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864"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60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5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5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532"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0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99"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343"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97"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864"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60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5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5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532"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0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299"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343"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97"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864"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60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5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5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532"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c>
          <w:tcPr>
            <w:tcW w:w="40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1"/>
                <w:highlight w:val="none"/>
              </w:rPr>
            </w:pPr>
          </w:p>
        </w:tc>
      </w:tr>
    </w:tbl>
    <w:p>
      <w:pPr>
        <w:keepNext w:val="0"/>
        <w:keepLines w:val="0"/>
        <w:pageBreakBefore w:val="0"/>
        <w:widowControl w:val="0"/>
        <w:kinsoku/>
        <w:wordWrap/>
        <w:overflowPunct/>
        <w:topLinePunct w:val="0"/>
        <w:autoSpaceDE w:val="0"/>
        <w:autoSpaceDN w:val="0"/>
        <w:bidi w:val="0"/>
        <w:adjustRightInd/>
        <w:snapToGrid/>
        <w:spacing w:before="179" w:line="180" w:lineRule="auto"/>
        <w:ind w:firstLine="617"/>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注：本表格由投标人依据所投货物基本参数进行填写，表格不够可按同格式续接。</w:t>
      </w: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before="104" w:line="184" w:lineRule="auto"/>
        <w:textAlignment w:val="auto"/>
        <w:outlineLvl w:val="9"/>
        <w:rPr>
          <w:rFonts w:hint="eastAsia" w:ascii="宋体" w:hAnsi="宋体" w:eastAsia="宋体" w:cs="宋体"/>
          <w:color w:val="auto"/>
          <w:spacing w:val="-1"/>
          <w:sz w:val="32"/>
          <w:szCs w:val="32"/>
          <w:highlight w:val="none"/>
          <w14:textOutline w14:w="5791" w14:cap="flat" w14:cmpd="sng">
            <w14:solidFill>
              <w14:srgbClr w14:val="000000"/>
            </w14:solidFill>
            <w14:prstDash w14:val="solid"/>
            <w14:miter w14:val="0"/>
          </w14:textOutline>
        </w:rPr>
      </w:pPr>
    </w:p>
    <w:p>
      <w:pPr>
        <w:keepNext w:val="0"/>
        <w:keepLines w:val="0"/>
        <w:pageBreakBefore w:val="0"/>
        <w:widowControl w:val="0"/>
        <w:kinsoku/>
        <w:wordWrap/>
        <w:overflowPunct/>
        <w:topLinePunct w:val="0"/>
        <w:autoSpaceDE w:val="0"/>
        <w:autoSpaceDN w:val="0"/>
        <w:bidi w:val="0"/>
        <w:adjustRightInd/>
        <w:snapToGrid/>
        <w:spacing w:before="104" w:line="184" w:lineRule="auto"/>
        <w:jc w:val="center"/>
        <w:textAlignment w:val="auto"/>
        <w:outlineLvl w:val="9"/>
        <w:rPr>
          <w:rFonts w:hint="eastAsia" w:ascii="宋体" w:hAnsi="宋体" w:eastAsia="宋体" w:cs="宋体"/>
          <w:color w:val="auto"/>
          <w:spacing w:val="-1"/>
          <w:sz w:val="24"/>
          <w:szCs w:val="24"/>
          <w:highlight w:val="none"/>
          <w14:textOutline w14:w="5791" w14:cap="flat" w14:cmpd="sng">
            <w14:solidFill>
              <w14:srgbClr w14:val="000000"/>
            </w14:solidFill>
            <w14:prstDash w14:val="solid"/>
            <w14:miter w14:val="0"/>
          </w14:textOutline>
        </w:rPr>
      </w:pPr>
    </w:p>
    <w:p>
      <w:pPr>
        <w:keepNext w:val="0"/>
        <w:keepLines w:val="0"/>
        <w:pageBreakBefore w:val="0"/>
        <w:widowControl w:val="0"/>
        <w:kinsoku/>
        <w:wordWrap/>
        <w:overflowPunct/>
        <w:topLinePunct w:val="0"/>
        <w:autoSpaceDE w:val="0"/>
        <w:autoSpaceDN w:val="0"/>
        <w:bidi w:val="0"/>
        <w:adjustRightInd/>
        <w:snapToGrid/>
        <w:spacing w:before="104" w:line="184" w:lineRule="auto"/>
        <w:jc w:val="center"/>
        <w:textAlignment w:val="auto"/>
        <w:outlineLvl w:val="9"/>
        <w:rPr>
          <w:rFonts w:hint="eastAsia" w:ascii="宋体" w:hAnsi="宋体" w:eastAsia="宋体" w:cs="宋体"/>
          <w:color w:val="auto"/>
          <w:spacing w:val="-1"/>
          <w:sz w:val="24"/>
          <w:szCs w:val="24"/>
          <w:highlight w:val="none"/>
          <w14:textOutline w14:w="5791" w14:cap="flat" w14:cmpd="sng">
            <w14:solidFill>
              <w14:srgbClr w14:val="000000"/>
            </w14:solidFill>
            <w14:prstDash w14:val="solid"/>
            <w14:miter w14:val="0"/>
          </w14:textOutline>
        </w:rPr>
      </w:pPr>
    </w:p>
    <w:p>
      <w:pPr>
        <w:keepNext w:val="0"/>
        <w:keepLines w:val="0"/>
        <w:pageBreakBefore w:val="0"/>
        <w:widowControl w:val="0"/>
        <w:kinsoku/>
        <w:wordWrap/>
        <w:overflowPunct/>
        <w:topLinePunct w:val="0"/>
        <w:autoSpaceDE w:val="0"/>
        <w:autoSpaceDN w:val="0"/>
        <w:bidi w:val="0"/>
        <w:adjustRightInd/>
        <w:snapToGrid/>
        <w:spacing w:before="104" w:line="184"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5791" w14:cap="flat" w14:cmpd="sng">
            <w14:solidFill>
              <w14:srgbClr w14:val="000000"/>
            </w14:solidFill>
            <w14:prstDash w14:val="solid"/>
            <w14:miter w14:val="0"/>
          </w14:textOutline>
        </w:rPr>
        <w:t>主要部件产地、厂家表</w:t>
      </w:r>
    </w:p>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64" w:lineRule="exact"/>
        <w:textAlignment w:val="auto"/>
        <w:outlineLvl w:val="9"/>
        <w:rPr>
          <w:rFonts w:hint="eastAsia" w:ascii="宋体" w:hAnsi="宋体" w:eastAsia="宋体" w:cs="宋体"/>
          <w:color w:val="auto"/>
          <w:highlight w:val="none"/>
        </w:rPr>
      </w:pPr>
    </w:p>
    <w:tbl>
      <w:tblPr>
        <w:tblStyle w:val="42"/>
        <w:tblW w:w="501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407"/>
        <w:gridCol w:w="3788"/>
        <w:gridCol w:w="1393"/>
        <w:gridCol w:w="13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340" w:type="pct"/>
            <w:vAlign w:val="top"/>
          </w:tcPr>
          <w:p>
            <w:pPr>
              <w:keepNext w:val="0"/>
              <w:keepLines w:val="0"/>
              <w:pageBreakBefore w:val="0"/>
              <w:widowControl w:val="0"/>
              <w:kinsoku/>
              <w:wordWrap/>
              <w:overflowPunct/>
              <w:topLinePunct w:val="0"/>
              <w:autoSpaceDE w:val="0"/>
              <w:autoSpaceDN w:val="0"/>
              <w:bidi w:val="0"/>
              <w:adjustRightInd/>
              <w:snapToGrid/>
              <w:spacing w:before="81" w:line="185" w:lineRule="auto"/>
              <w:ind w:firstLine="663"/>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主要部件名称</w:t>
            </w: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81" w:line="185" w:lineRule="auto"/>
              <w:ind w:firstLine="1183"/>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内部元件名称</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spacing w:before="81" w:line="185" w:lineRule="auto"/>
              <w:ind w:firstLine="12"/>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产地</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spacing w:before="81" w:line="185" w:lineRule="auto"/>
              <w:ind w:firstLine="16"/>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厂家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1340" w:type="pct"/>
            <w:vMerge w:val="restar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ind w:firstLine="713"/>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控制系统</w:t>
            </w: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74" w:line="185" w:lineRule="auto"/>
              <w:ind w:firstLine="1538"/>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控制柜</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1340" w:type="pct"/>
            <w:vMerge w:val="continue"/>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76" w:line="185" w:lineRule="auto"/>
              <w:ind w:firstLine="1034"/>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微机系统控制板</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1340" w:type="pct"/>
            <w:vMerge w:val="continue"/>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93" w:line="185" w:lineRule="auto"/>
              <w:ind w:firstLine="1515"/>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变频器</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1340" w:type="pct"/>
            <w:vMerge w:val="continue"/>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77" w:line="185" w:lineRule="auto"/>
              <w:ind w:firstLine="1397"/>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主接触器</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1340" w:type="pct"/>
            <w:vMerge w:val="continue"/>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78" w:line="185" w:lineRule="auto"/>
              <w:ind w:firstLine="555"/>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开门、抱闸、接触继电器</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1340" w:type="pct"/>
            <w:vMerge w:val="continue"/>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78" w:line="185" w:lineRule="auto"/>
              <w:ind w:firstLine="555"/>
              <w:textAlignment w:val="auto"/>
              <w:outlineLvl w:val="9"/>
              <w:rPr>
                <w:rFonts w:hint="eastAsia" w:ascii="宋体" w:hAnsi="宋体" w:eastAsia="宋体" w:cs="宋体"/>
                <w:color w:val="auto"/>
                <w:spacing w:val="-1"/>
                <w:sz w:val="24"/>
                <w:szCs w:val="24"/>
                <w:highlight w:val="none"/>
                <w:lang w:val="en-US" w:eastAsia="zh-CN"/>
              </w:rPr>
            </w:pPr>
            <w:r>
              <w:rPr>
                <w:rFonts w:hint="eastAsia" w:ascii="宋体" w:hAnsi="宋体" w:eastAsia="宋体" w:cs="宋体"/>
                <w:color w:val="auto"/>
                <w:spacing w:val="-1"/>
                <w:sz w:val="24"/>
                <w:szCs w:val="24"/>
                <w:highlight w:val="none"/>
                <w:lang w:val="en-US" w:eastAsia="zh-CN"/>
              </w:rPr>
              <w:t>......</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340" w:type="pct"/>
            <w:vMerge w:val="restart"/>
            <w:vAlign w:val="top"/>
          </w:tcPr>
          <w:p>
            <w:pPr>
              <w:keepNext w:val="0"/>
              <w:keepLines w:val="0"/>
              <w:pageBreakBefore w:val="0"/>
              <w:widowControl w:val="0"/>
              <w:kinsoku/>
              <w:wordWrap/>
              <w:overflowPunct/>
              <w:topLinePunct w:val="0"/>
              <w:autoSpaceDE w:val="0"/>
              <w:autoSpaceDN w:val="0"/>
              <w:bidi w:val="0"/>
              <w:adjustRightInd/>
              <w:snapToGrid/>
              <w:spacing w:line="444"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ind w:firstLine="842"/>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曳引机</w:t>
            </w: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79" w:line="185" w:lineRule="auto"/>
              <w:ind w:firstLine="556"/>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永磁同步无齿轮曳引驱动</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40" w:type="pct"/>
            <w:vMerge w:val="continue"/>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79" w:line="185" w:lineRule="auto"/>
              <w:ind w:firstLine="1442"/>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编码器</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1340" w:type="pct"/>
            <w:vMerge w:val="continue"/>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77" w:line="185" w:lineRule="auto"/>
              <w:ind w:firstLine="1513"/>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钢丝绳</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1340" w:type="pct"/>
            <w:vMerge w:val="continue"/>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77" w:line="185" w:lineRule="auto"/>
              <w:ind w:firstLine="1513"/>
              <w:textAlignment w:val="auto"/>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val="en-US" w:eastAsia="zh-CN"/>
              </w:rPr>
              <w:t>......</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1340" w:type="pct"/>
            <w:vMerge w:val="restart"/>
            <w:vAlign w:val="top"/>
          </w:tcPr>
          <w:p>
            <w:pPr>
              <w:keepNext w:val="0"/>
              <w:keepLines w:val="0"/>
              <w:pageBreakBefore w:val="0"/>
              <w:widowControl w:val="0"/>
              <w:kinsoku/>
              <w:wordWrap/>
              <w:overflowPunct/>
              <w:topLinePunct w:val="0"/>
              <w:autoSpaceDE w:val="0"/>
              <w:autoSpaceDN w:val="0"/>
              <w:bidi w:val="0"/>
              <w:adjustRightInd/>
              <w:snapToGrid/>
              <w:spacing w:line="344"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line="345"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ind w:firstLine="741"/>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门机系统</w:t>
            </w: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79" w:line="185" w:lineRule="auto"/>
              <w:ind w:firstLine="1686"/>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门机</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1340" w:type="pct"/>
            <w:vMerge w:val="continue"/>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80" w:line="185" w:lineRule="auto"/>
              <w:ind w:firstLine="679"/>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继电器、二次保护开关</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1340" w:type="pct"/>
            <w:vMerge w:val="continue"/>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80" w:line="185" w:lineRule="auto"/>
              <w:ind w:firstLine="1566"/>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门电机</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340" w:type="pct"/>
            <w:vMerge w:val="continue"/>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82" w:line="185" w:lineRule="auto"/>
              <w:ind w:firstLine="1182"/>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门机控制系统</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1340" w:type="pct"/>
            <w:vMerge w:val="continue"/>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82" w:line="185" w:lineRule="auto"/>
              <w:ind w:firstLine="1182"/>
              <w:textAlignment w:val="auto"/>
              <w:outlineLvl w:val="9"/>
              <w:rPr>
                <w:rFonts w:hint="eastAsia" w:ascii="宋体" w:hAnsi="宋体" w:eastAsia="宋体" w:cs="宋体"/>
                <w:color w:val="auto"/>
                <w:spacing w:val="-6"/>
                <w:sz w:val="24"/>
                <w:szCs w:val="24"/>
                <w:highlight w:val="none"/>
              </w:rPr>
            </w:pPr>
            <w:r>
              <w:rPr>
                <w:rFonts w:hint="eastAsia" w:ascii="宋体" w:hAnsi="宋体" w:eastAsia="宋体" w:cs="宋体"/>
                <w:color w:val="auto"/>
                <w:spacing w:val="-1"/>
                <w:sz w:val="24"/>
                <w:szCs w:val="24"/>
                <w:highlight w:val="none"/>
                <w:lang w:val="en-US" w:eastAsia="zh-CN"/>
              </w:rPr>
              <w:t>......</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 w:hRule="atLeast"/>
        </w:trPr>
        <w:tc>
          <w:tcPr>
            <w:tcW w:w="1340" w:type="pct"/>
            <w:vMerge w:val="restart"/>
            <w:vAlign w:val="top"/>
          </w:tcPr>
          <w:p>
            <w:pPr>
              <w:keepNext w:val="0"/>
              <w:keepLines w:val="0"/>
              <w:pageBreakBefore w:val="0"/>
              <w:widowControl w:val="0"/>
              <w:kinsoku/>
              <w:wordWrap/>
              <w:overflowPunct/>
              <w:topLinePunct w:val="0"/>
              <w:autoSpaceDE w:val="0"/>
              <w:autoSpaceDN w:val="0"/>
              <w:bidi w:val="0"/>
              <w:adjustRightInd/>
              <w:snapToGrid/>
              <w:spacing w:line="345"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line="345"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ind w:firstLine="116"/>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主要控制与安全部件</w:t>
            </w: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80" w:line="185" w:lineRule="auto"/>
              <w:ind w:firstLine="1445"/>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安全钳</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340" w:type="pct"/>
            <w:vMerge w:val="continue"/>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81" w:line="185" w:lineRule="auto"/>
              <w:ind w:firstLine="1457"/>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限速器</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 w:hRule="atLeast"/>
        </w:trPr>
        <w:tc>
          <w:tcPr>
            <w:tcW w:w="1340" w:type="pct"/>
            <w:vMerge w:val="continue"/>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79" w:line="185" w:lineRule="auto"/>
              <w:ind w:firstLine="1563"/>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缓冲</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340" w:type="pct"/>
            <w:vMerge w:val="continue"/>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81" w:line="185" w:lineRule="auto"/>
              <w:ind w:firstLine="1562"/>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光幕</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340" w:type="pct"/>
            <w:vMerge w:val="continue"/>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2108" w:type="pct"/>
            <w:vAlign w:val="top"/>
          </w:tcPr>
          <w:p>
            <w:pPr>
              <w:keepNext w:val="0"/>
              <w:keepLines w:val="0"/>
              <w:pageBreakBefore w:val="0"/>
              <w:widowControl w:val="0"/>
              <w:kinsoku/>
              <w:wordWrap/>
              <w:overflowPunct/>
              <w:topLinePunct w:val="0"/>
              <w:autoSpaceDE w:val="0"/>
              <w:autoSpaceDN w:val="0"/>
              <w:bidi w:val="0"/>
              <w:adjustRightInd/>
              <w:snapToGrid/>
              <w:spacing w:before="81" w:line="185" w:lineRule="auto"/>
              <w:ind w:firstLine="1562"/>
              <w:textAlignment w:val="auto"/>
              <w:outlineLvl w:val="9"/>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1"/>
                <w:sz w:val="24"/>
                <w:szCs w:val="24"/>
                <w:highlight w:val="none"/>
                <w:lang w:val="en-US" w:eastAsia="zh-CN"/>
              </w:rPr>
              <w:t>......</w:t>
            </w: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775"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bl>
    <w:p>
      <w:pPr>
        <w:keepNext w:val="0"/>
        <w:keepLines w:val="0"/>
        <w:pageBreakBefore w:val="0"/>
        <w:widowControl w:val="0"/>
        <w:kinsoku/>
        <w:wordWrap/>
        <w:overflowPunct/>
        <w:topLinePunct w:val="0"/>
        <w:autoSpaceDE w:val="0"/>
        <w:autoSpaceDN w:val="0"/>
        <w:bidi w:val="0"/>
        <w:adjustRightInd/>
        <w:snapToGrid/>
        <w:spacing w:line="297"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297"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ind w:firstLine="1"/>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投标人</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
          <w:sz w:val="24"/>
          <w:szCs w:val="24"/>
          <w:highlight w:val="none"/>
        </w:rPr>
        <w:t>盖单位章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
          <w:sz w:val="24"/>
          <w:szCs w:val="24"/>
          <w:highlight w:val="none"/>
        </w:rPr>
        <w:t>电子投标文件中须盖单位电子印章）</w:t>
      </w:r>
    </w:p>
    <w:p>
      <w:pPr>
        <w:keepNext w:val="0"/>
        <w:keepLines w:val="0"/>
        <w:pageBreakBefore w:val="0"/>
        <w:widowControl w:val="0"/>
        <w:kinsoku/>
        <w:wordWrap/>
        <w:overflowPunct/>
        <w:topLinePunct w:val="0"/>
        <w:autoSpaceDE w:val="0"/>
        <w:autoSpaceDN w:val="0"/>
        <w:bidi w:val="0"/>
        <w:adjustRightInd/>
        <w:snapToGrid/>
        <w:spacing w:line="247"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签字或盖章</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电子投标文件中须盖电子印章）</w:t>
      </w:r>
    </w:p>
    <w:p>
      <w:pPr>
        <w:keepNext w:val="0"/>
        <w:keepLines w:val="0"/>
        <w:pageBreakBefore w:val="0"/>
        <w:widowControl w:val="0"/>
        <w:kinsoku/>
        <w:wordWrap/>
        <w:overflowPunct/>
        <w:topLinePunct w:val="0"/>
        <w:autoSpaceDE w:val="0"/>
        <w:autoSpaceDN w:val="0"/>
        <w:bidi w:val="0"/>
        <w:adjustRightInd/>
        <w:snapToGrid/>
        <w:spacing w:line="247"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ind w:firstLine="1"/>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投标日期:</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5"/>
          <w:sz w:val="24"/>
          <w:szCs w:val="24"/>
          <w:highlight w:val="none"/>
        </w:rPr>
        <w:t>年</w:t>
      </w:r>
      <w:r>
        <w:rPr>
          <w:rFonts w:hint="eastAsia" w:ascii="宋体" w:hAnsi="宋体" w:eastAsia="宋体" w:cs="宋体"/>
          <w:color w:val="auto"/>
          <w:spacing w:val="75"/>
          <w:sz w:val="24"/>
          <w:szCs w:val="24"/>
          <w:highlight w:val="none"/>
        </w:rPr>
        <w:t xml:space="preserve"> </w:t>
      </w:r>
      <w:r>
        <w:rPr>
          <w:rFonts w:hint="eastAsia" w:ascii="宋体" w:hAnsi="宋体" w:eastAsia="宋体" w:cs="宋体"/>
          <w:color w:val="auto"/>
          <w:spacing w:val="-5"/>
          <w:sz w:val="24"/>
          <w:szCs w:val="24"/>
          <w:highlight w:val="none"/>
        </w:rPr>
        <w:t>月</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日</w:t>
      </w: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before="120" w:line="180" w:lineRule="auto"/>
        <w:ind w:firstLine="3195"/>
        <w:textAlignment w:val="auto"/>
        <w:outlineLvl w:val="9"/>
        <w:rPr>
          <w:rFonts w:hint="eastAsia" w:ascii="宋体" w:hAnsi="宋体" w:eastAsia="宋体" w:cs="宋体"/>
          <w:b/>
          <w:bCs/>
          <w:color w:val="auto"/>
          <w:spacing w:val="-1"/>
          <w:sz w:val="28"/>
          <w:szCs w:val="28"/>
          <w:highlight w:val="none"/>
        </w:rPr>
      </w:pPr>
    </w:p>
    <w:p>
      <w:pPr>
        <w:pStyle w:val="23"/>
        <w:rPr>
          <w:rFonts w:hint="eastAsia" w:ascii="宋体" w:hAnsi="宋体" w:eastAsia="宋体" w:cs="宋体"/>
          <w:b/>
          <w:bCs/>
          <w:color w:val="auto"/>
          <w:spacing w:val="-1"/>
          <w:sz w:val="28"/>
          <w:szCs w:val="28"/>
          <w:highlight w:val="none"/>
        </w:rPr>
      </w:pPr>
    </w:p>
    <w:p>
      <w:pPr>
        <w:rPr>
          <w:rFonts w:hint="eastAsia" w:ascii="宋体" w:hAnsi="宋体" w:eastAsia="宋体" w:cs="宋体"/>
          <w:b/>
          <w:bCs/>
          <w:color w:val="auto"/>
          <w:spacing w:val="-1"/>
          <w:sz w:val="28"/>
          <w:szCs w:val="28"/>
          <w:highlight w:val="none"/>
        </w:rPr>
      </w:pPr>
    </w:p>
    <w:p>
      <w:pPr>
        <w:pStyle w:val="23"/>
        <w:rPr>
          <w:rFonts w:hint="eastAsia" w:ascii="宋体" w:hAnsi="宋体" w:eastAsia="宋体" w:cs="宋体"/>
          <w:b/>
          <w:bCs/>
          <w:color w:val="auto"/>
          <w:spacing w:val="-1"/>
          <w:sz w:val="28"/>
          <w:szCs w:val="28"/>
          <w:highlight w:val="none"/>
        </w:rPr>
      </w:pPr>
    </w:p>
    <w:p>
      <w:pPr>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before="120" w:line="180" w:lineRule="auto"/>
        <w:ind w:firstLine="3195"/>
        <w:textAlignment w:val="auto"/>
        <w:outlineLvl w:val="9"/>
        <w:rPr>
          <w:rFonts w:hint="eastAsia" w:ascii="宋体" w:hAnsi="宋体" w:eastAsia="宋体" w:cs="宋体"/>
          <w:b/>
          <w:bCs/>
          <w:color w:val="auto"/>
          <w:spacing w:val="-1"/>
          <w:sz w:val="28"/>
          <w:szCs w:val="28"/>
          <w:highlight w:val="none"/>
        </w:rPr>
      </w:pPr>
      <w:r>
        <w:rPr>
          <w:rFonts w:hint="eastAsia" w:ascii="宋体" w:hAnsi="宋体" w:eastAsia="宋体" w:cs="宋体"/>
          <w:b/>
          <w:bCs/>
          <w:color w:val="auto"/>
          <w:spacing w:val="-1"/>
          <w:sz w:val="28"/>
          <w:szCs w:val="28"/>
          <w:highlight w:val="none"/>
        </w:rPr>
        <w:t>备品备件及易损件明细清单</w:t>
      </w:r>
    </w:p>
    <w:tbl>
      <w:tblPr>
        <w:tblStyle w:val="42"/>
        <w:tblW w:w="8641" w:type="dxa"/>
        <w:tblInd w:w="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2478"/>
        <w:gridCol w:w="1355"/>
        <w:gridCol w:w="1333"/>
        <w:gridCol w:w="1137"/>
        <w:gridCol w:w="15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7" w:hRule="atLeast"/>
        </w:trPr>
        <w:tc>
          <w:tcPr>
            <w:tcW w:w="810" w:type="dxa"/>
            <w:textDirection w:val="tbRlV"/>
            <w:vAlign w:val="top"/>
          </w:tcPr>
          <w:p>
            <w:pPr>
              <w:spacing w:before="279" w:line="180" w:lineRule="auto"/>
              <w:ind w:firstLine="63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w:t>
            </w:r>
            <w:r>
              <w:rPr>
                <w:rFonts w:hint="eastAsia" w:ascii="宋体" w:hAnsi="宋体" w:eastAsia="宋体" w:cs="宋体"/>
                <w:color w:val="auto"/>
                <w:spacing w:val="-42"/>
                <w:sz w:val="22"/>
                <w:szCs w:val="22"/>
                <w:highlight w:val="none"/>
              </w:rPr>
              <w:t xml:space="preserve"> </w:t>
            </w:r>
            <w:r>
              <w:rPr>
                <w:rFonts w:hint="eastAsia" w:ascii="宋体" w:hAnsi="宋体" w:eastAsia="宋体" w:cs="宋体"/>
                <w:color w:val="auto"/>
                <w:sz w:val="22"/>
                <w:szCs w:val="22"/>
                <w:highlight w:val="none"/>
              </w:rPr>
              <w:t>号</w:t>
            </w:r>
          </w:p>
        </w:tc>
        <w:tc>
          <w:tcPr>
            <w:tcW w:w="2478" w:type="dxa"/>
            <w:vAlign w:val="top"/>
          </w:tcPr>
          <w:p>
            <w:pPr>
              <w:spacing w:line="247" w:lineRule="auto"/>
              <w:rPr>
                <w:rFonts w:hint="eastAsia" w:ascii="宋体" w:hAnsi="宋体" w:eastAsia="宋体" w:cs="宋体"/>
                <w:color w:val="auto"/>
                <w:sz w:val="21"/>
                <w:highlight w:val="none"/>
              </w:rPr>
            </w:pPr>
          </w:p>
          <w:p>
            <w:pPr>
              <w:spacing w:line="247" w:lineRule="auto"/>
              <w:rPr>
                <w:rFonts w:hint="eastAsia" w:ascii="宋体" w:hAnsi="宋体" w:eastAsia="宋体" w:cs="宋体"/>
                <w:color w:val="auto"/>
                <w:sz w:val="21"/>
                <w:highlight w:val="none"/>
              </w:rPr>
            </w:pPr>
          </w:p>
          <w:p>
            <w:pPr>
              <w:spacing w:before="71" w:line="185" w:lineRule="auto"/>
              <w:ind w:firstLine="1039"/>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名称</w:t>
            </w:r>
          </w:p>
        </w:tc>
        <w:tc>
          <w:tcPr>
            <w:tcW w:w="1355" w:type="dxa"/>
            <w:vAlign w:val="top"/>
          </w:tcPr>
          <w:p>
            <w:pPr>
              <w:spacing w:line="247" w:lineRule="auto"/>
              <w:rPr>
                <w:rFonts w:hint="eastAsia" w:ascii="宋体" w:hAnsi="宋体" w:eastAsia="宋体" w:cs="宋体"/>
                <w:color w:val="auto"/>
                <w:sz w:val="21"/>
                <w:highlight w:val="none"/>
              </w:rPr>
            </w:pPr>
          </w:p>
          <w:p>
            <w:pPr>
              <w:spacing w:line="247" w:lineRule="auto"/>
              <w:rPr>
                <w:rFonts w:hint="eastAsia" w:ascii="宋体" w:hAnsi="宋体" w:eastAsia="宋体" w:cs="宋体"/>
                <w:color w:val="auto"/>
                <w:sz w:val="21"/>
                <w:highlight w:val="none"/>
              </w:rPr>
            </w:pPr>
          </w:p>
          <w:p>
            <w:pPr>
              <w:spacing w:before="71" w:line="185" w:lineRule="auto"/>
              <w:ind w:firstLine="25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规格型号</w:t>
            </w:r>
          </w:p>
        </w:tc>
        <w:tc>
          <w:tcPr>
            <w:tcW w:w="1333" w:type="dxa"/>
            <w:vAlign w:val="top"/>
          </w:tcPr>
          <w:p>
            <w:pPr>
              <w:spacing w:before="176" w:line="244" w:lineRule="auto"/>
              <w:ind w:left="203" w:right="136" w:hanging="104"/>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原产地及制</w:t>
            </w:r>
            <w:r>
              <w:rPr>
                <w:rFonts w:hint="eastAsia" w:ascii="宋体" w:hAnsi="宋体" w:eastAsia="宋体" w:cs="宋体"/>
                <w:color w:val="auto"/>
                <w:spacing w:val="2"/>
                <w:sz w:val="22"/>
                <w:szCs w:val="22"/>
                <w:highlight w:val="none"/>
              </w:rPr>
              <w:t xml:space="preserve"> </w:t>
            </w:r>
            <w:r>
              <w:rPr>
                <w:rFonts w:hint="eastAsia" w:ascii="宋体" w:hAnsi="宋体" w:eastAsia="宋体" w:cs="宋体"/>
                <w:color w:val="auto"/>
                <w:spacing w:val="-1"/>
                <w:sz w:val="22"/>
                <w:szCs w:val="22"/>
                <w:highlight w:val="none"/>
              </w:rPr>
              <w:t>造商名称</w:t>
            </w:r>
          </w:p>
        </w:tc>
        <w:tc>
          <w:tcPr>
            <w:tcW w:w="1137" w:type="dxa"/>
            <w:vAlign w:val="top"/>
          </w:tcPr>
          <w:p>
            <w:pPr>
              <w:spacing w:line="416" w:lineRule="auto"/>
              <w:rPr>
                <w:rFonts w:hint="eastAsia" w:ascii="宋体" w:hAnsi="宋体" w:eastAsia="宋体" w:cs="宋体"/>
                <w:color w:val="auto"/>
                <w:sz w:val="21"/>
                <w:highlight w:val="none"/>
              </w:rPr>
            </w:pPr>
          </w:p>
          <w:p>
            <w:pPr>
              <w:spacing w:before="71" w:line="185" w:lineRule="auto"/>
              <w:ind w:firstLine="373"/>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数量</w:t>
            </w:r>
          </w:p>
        </w:tc>
        <w:tc>
          <w:tcPr>
            <w:tcW w:w="1528" w:type="dxa"/>
            <w:tcBorders>
              <w:right w:val="single" w:color="000000" w:sz="4" w:space="0"/>
            </w:tcBorders>
            <w:vAlign w:val="top"/>
          </w:tcPr>
          <w:p>
            <w:pPr>
              <w:spacing w:line="416" w:lineRule="auto"/>
              <w:rPr>
                <w:rFonts w:hint="eastAsia" w:ascii="宋体" w:hAnsi="宋体" w:eastAsia="宋体" w:cs="宋体"/>
                <w:color w:val="auto"/>
                <w:sz w:val="21"/>
                <w:highlight w:val="none"/>
              </w:rPr>
            </w:pPr>
          </w:p>
          <w:p>
            <w:pPr>
              <w:spacing w:before="71" w:line="185" w:lineRule="auto"/>
              <w:ind w:firstLine="543"/>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810" w:type="dxa"/>
            <w:vAlign w:val="top"/>
          </w:tcPr>
          <w:p>
            <w:pPr>
              <w:spacing w:before="108" w:line="180" w:lineRule="auto"/>
              <w:ind w:firstLine="386"/>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w:t>
            </w:r>
          </w:p>
        </w:tc>
        <w:tc>
          <w:tcPr>
            <w:tcW w:w="2478" w:type="dxa"/>
            <w:vAlign w:val="top"/>
          </w:tcPr>
          <w:p>
            <w:pPr>
              <w:spacing w:before="72" w:line="185" w:lineRule="auto"/>
              <w:ind w:firstLine="951"/>
              <w:rPr>
                <w:rFonts w:hint="eastAsia" w:ascii="宋体" w:hAnsi="宋体" w:eastAsia="宋体" w:cs="宋体"/>
                <w:color w:val="auto"/>
                <w:sz w:val="22"/>
                <w:szCs w:val="22"/>
                <w:highlight w:val="none"/>
              </w:rPr>
            </w:pPr>
          </w:p>
        </w:tc>
        <w:tc>
          <w:tcPr>
            <w:tcW w:w="1355" w:type="dxa"/>
            <w:vAlign w:val="top"/>
          </w:tcPr>
          <w:p>
            <w:pPr>
              <w:rPr>
                <w:rFonts w:hint="eastAsia" w:ascii="宋体" w:hAnsi="宋体" w:eastAsia="宋体" w:cs="宋体"/>
                <w:color w:val="auto"/>
                <w:sz w:val="21"/>
                <w:highlight w:val="none"/>
              </w:rPr>
            </w:pPr>
          </w:p>
        </w:tc>
        <w:tc>
          <w:tcPr>
            <w:tcW w:w="1333" w:type="dxa"/>
            <w:vAlign w:val="top"/>
          </w:tcPr>
          <w:p>
            <w:pPr>
              <w:rPr>
                <w:rFonts w:hint="eastAsia" w:ascii="宋体" w:hAnsi="宋体" w:eastAsia="宋体" w:cs="宋体"/>
                <w:color w:val="auto"/>
                <w:sz w:val="21"/>
                <w:highlight w:val="none"/>
              </w:rPr>
            </w:pPr>
          </w:p>
        </w:tc>
        <w:tc>
          <w:tcPr>
            <w:tcW w:w="1137" w:type="dxa"/>
            <w:vAlign w:val="top"/>
          </w:tcPr>
          <w:p>
            <w:pPr>
              <w:spacing w:before="72" w:line="185" w:lineRule="auto"/>
              <w:ind w:firstLine="275"/>
              <w:rPr>
                <w:rFonts w:hint="eastAsia" w:ascii="宋体" w:hAnsi="宋体" w:eastAsia="宋体" w:cs="宋体"/>
                <w:color w:val="auto"/>
                <w:sz w:val="22"/>
                <w:szCs w:val="22"/>
                <w:highlight w:val="none"/>
              </w:rPr>
            </w:pPr>
          </w:p>
        </w:tc>
        <w:tc>
          <w:tcPr>
            <w:tcW w:w="1528" w:type="dxa"/>
            <w:tcBorders>
              <w:right w:val="single" w:color="000000" w:sz="4" w:space="0"/>
            </w:tcBorders>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810" w:type="dxa"/>
            <w:vAlign w:val="top"/>
          </w:tcPr>
          <w:p>
            <w:pPr>
              <w:spacing w:before="109" w:line="180" w:lineRule="auto"/>
              <w:ind w:firstLine="372"/>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w:t>
            </w:r>
          </w:p>
        </w:tc>
        <w:tc>
          <w:tcPr>
            <w:tcW w:w="2478" w:type="dxa"/>
            <w:vAlign w:val="top"/>
          </w:tcPr>
          <w:p>
            <w:pPr>
              <w:spacing w:line="204" w:lineRule="auto"/>
              <w:ind w:firstLine="1146"/>
              <w:rPr>
                <w:rFonts w:hint="eastAsia" w:ascii="宋体" w:hAnsi="宋体" w:eastAsia="宋体" w:cs="宋体"/>
                <w:color w:val="auto"/>
                <w:sz w:val="22"/>
                <w:szCs w:val="22"/>
                <w:highlight w:val="none"/>
              </w:rPr>
            </w:pPr>
          </w:p>
        </w:tc>
        <w:tc>
          <w:tcPr>
            <w:tcW w:w="1355" w:type="dxa"/>
            <w:vAlign w:val="top"/>
          </w:tcPr>
          <w:p>
            <w:pPr>
              <w:rPr>
                <w:rFonts w:hint="eastAsia" w:ascii="宋体" w:hAnsi="宋体" w:eastAsia="宋体" w:cs="宋体"/>
                <w:color w:val="auto"/>
                <w:sz w:val="21"/>
                <w:highlight w:val="none"/>
              </w:rPr>
            </w:pPr>
          </w:p>
        </w:tc>
        <w:tc>
          <w:tcPr>
            <w:tcW w:w="1333" w:type="dxa"/>
            <w:vAlign w:val="top"/>
          </w:tcPr>
          <w:p>
            <w:pPr>
              <w:rPr>
                <w:rFonts w:hint="eastAsia" w:ascii="宋体" w:hAnsi="宋体" w:eastAsia="宋体" w:cs="宋体"/>
                <w:color w:val="auto"/>
                <w:sz w:val="21"/>
                <w:highlight w:val="none"/>
              </w:rPr>
            </w:pPr>
          </w:p>
        </w:tc>
        <w:tc>
          <w:tcPr>
            <w:tcW w:w="1137" w:type="dxa"/>
            <w:vAlign w:val="top"/>
          </w:tcPr>
          <w:p>
            <w:pPr>
              <w:spacing w:before="72" w:line="185" w:lineRule="auto"/>
              <w:ind w:firstLine="275"/>
              <w:rPr>
                <w:rFonts w:hint="eastAsia" w:ascii="宋体" w:hAnsi="宋体" w:eastAsia="宋体" w:cs="宋体"/>
                <w:color w:val="auto"/>
                <w:sz w:val="22"/>
                <w:szCs w:val="22"/>
                <w:highlight w:val="none"/>
              </w:rPr>
            </w:pPr>
          </w:p>
        </w:tc>
        <w:tc>
          <w:tcPr>
            <w:tcW w:w="1528" w:type="dxa"/>
            <w:tcBorders>
              <w:right w:val="single" w:color="000000" w:sz="4" w:space="0"/>
            </w:tcBorders>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10" w:type="dxa"/>
            <w:vAlign w:val="top"/>
          </w:tcPr>
          <w:p>
            <w:pPr>
              <w:spacing w:before="112" w:line="180" w:lineRule="auto"/>
              <w:ind w:firstLine="374"/>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w:t>
            </w:r>
          </w:p>
        </w:tc>
        <w:tc>
          <w:tcPr>
            <w:tcW w:w="2478" w:type="dxa"/>
            <w:vAlign w:val="top"/>
          </w:tcPr>
          <w:p>
            <w:pPr>
              <w:spacing w:line="204" w:lineRule="auto"/>
              <w:ind w:firstLine="1149"/>
              <w:rPr>
                <w:rFonts w:hint="eastAsia" w:ascii="宋体" w:hAnsi="宋体" w:eastAsia="宋体" w:cs="宋体"/>
                <w:color w:val="auto"/>
                <w:sz w:val="22"/>
                <w:szCs w:val="22"/>
                <w:highlight w:val="none"/>
              </w:rPr>
            </w:pPr>
          </w:p>
        </w:tc>
        <w:tc>
          <w:tcPr>
            <w:tcW w:w="1355" w:type="dxa"/>
            <w:vAlign w:val="top"/>
          </w:tcPr>
          <w:p>
            <w:pPr>
              <w:rPr>
                <w:rFonts w:hint="eastAsia" w:ascii="宋体" w:hAnsi="宋体" w:eastAsia="宋体" w:cs="宋体"/>
                <w:color w:val="auto"/>
                <w:sz w:val="21"/>
                <w:highlight w:val="none"/>
              </w:rPr>
            </w:pPr>
          </w:p>
        </w:tc>
        <w:tc>
          <w:tcPr>
            <w:tcW w:w="1333" w:type="dxa"/>
            <w:vAlign w:val="top"/>
          </w:tcPr>
          <w:p>
            <w:pPr>
              <w:rPr>
                <w:rFonts w:hint="eastAsia" w:ascii="宋体" w:hAnsi="宋体" w:eastAsia="宋体" w:cs="宋体"/>
                <w:color w:val="auto"/>
                <w:sz w:val="21"/>
                <w:highlight w:val="none"/>
              </w:rPr>
            </w:pPr>
          </w:p>
        </w:tc>
        <w:tc>
          <w:tcPr>
            <w:tcW w:w="1137" w:type="dxa"/>
            <w:vAlign w:val="top"/>
          </w:tcPr>
          <w:p>
            <w:pPr>
              <w:spacing w:before="75" w:line="185" w:lineRule="auto"/>
              <w:ind w:firstLine="275"/>
              <w:rPr>
                <w:rFonts w:hint="eastAsia" w:ascii="宋体" w:hAnsi="宋体" w:eastAsia="宋体" w:cs="宋体"/>
                <w:color w:val="auto"/>
                <w:sz w:val="22"/>
                <w:szCs w:val="22"/>
                <w:highlight w:val="none"/>
              </w:rPr>
            </w:pPr>
          </w:p>
        </w:tc>
        <w:tc>
          <w:tcPr>
            <w:tcW w:w="1528" w:type="dxa"/>
            <w:tcBorders>
              <w:right w:val="single" w:color="000000" w:sz="4" w:space="0"/>
            </w:tcBorders>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810" w:type="dxa"/>
            <w:vAlign w:val="top"/>
          </w:tcPr>
          <w:p>
            <w:pPr>
              <w:spacing w:before="112" w:line="180" w:lineRule="auto"/>
              <w:ind w:firstLine="369"/>
              <w:rPr>
                <w:rFonts w:hint="eastAsia" w:ascii="宋体" w:hAnsi="宋体" w:eastAsia="宋体" w:cs="宋体"/>
                <w:color w:val="auto"/>
                <w:sz w:val="22"/>
                <w:szCs w:val="22"/>
                <w:highlight w:val="none"/>
              </w:rPr>
            </w:pPr>
          </w:p>
        </w:tc>
        <w:tc>
          <w:tcPr>
            <w:tcW w:w="2478" w:type="dxa"/>
            <w:vAlign w:val="top"/>
          </w:tcPr>
          <w:p>
            <w:pPr>
              <w:spacing w:before="75" w:line="185" w:lineRule="auto"/>
              <w:ind w:firstLine="1038"/>
              <w:rPr>
                <w:rFonts w:hint="eastAsia" w:ascii="宋体" w:hAnsi="宋体" w:eastAsia="宋体" w:cs="宋体"/>
                <w:color w:val="auto"/>
                <w:sz w:val="22"/>
                <w:szCs w:val="22"/>
                <w:highlight w:val="none"/>
              </w:rPr>
            </w:pPr>
          </w:p>
        </w:tc>
        <w:tc>
          <w:tcPr>
            <w:tcW w:w="1355" w:type="dxa"/>
            <w:vAlign w:val="top"/>
          </w:tcPr>
          <w:p>
            <w:pPr>
              <w:rPr>
                <w:rFonts w:hint="eastAsia" w:ascii="宋体" w:hAnsi="宋体" w:eastAsia="宋体" w:cs="宋体"/>
                <w:color w:val="auto"/>
                <w:sz w:val="21"/>
                <w:highlight w:val="none"/>
              </w:rPr>
            </w:pPr>
          </w:p>
        </w:tc>
        <w:tc>
          <w:tcPr>
            <w:tcW w:w="1333" w:type="dxa"/>
            <w:vAlign w:val="top"/>
          </w:tcPr>
          <w:p>
            <w:pPr>
              <w:rPr>
                <w:rFonts w:hint="eastAsia" w:ascii="宋体" w:hAnsi="宋体" w:eastAsia="宋体" w:cs="宋体"/>
                <w:color w:val="auto"/>
                <w:sz w:val="21"/>
                <w:highlight w:val="none"/>
              </w:rPr>
            </w:pPr>
          </w:p>
        </w:tc>
        <w:tc>
          <w:tcPr>
            <w:tcW w:w="1137" w:type="dxa"/>
            <w:vAlign w:val="top"/>
          </w:tcPr>
          <w:p>
            <w:pPr>
              <w:spacing w:before="75" w:line="185" w:lineRule="auto"/>
              <w:ind w:firstLine="275"/>
              <w:rPr>
                <w:rFonts w:hint="eastAsia" w:ascii="宋体" w:hAnsi="宋体" w:eastAsia="宋体" w:cs="宋体"/>
                <w:color w:val="auto"/>
                <w:sz w:val="22"/>
                <w:szCs w:val="22"/>
                <w:highlight w:val="none"/>
              </w:rPr>
            </w:pPr>
          </w:p>
        </w:tc>
        <w:tc>
          <w:tcPr>
            <w:tcW w:w="1528" w:type="dxa"/>
            <w:tcBorders>
              <w:right w:val="single" w:color="000000" w:sz="4" w:space="0"/>
            </w:tcBorders>
            <w:vAlign w:val="top"/>
          </w:tcPr>
          <w:p>
            <w:pPr>
              <w:rPr>
                <w:rFonts w:hint="eastAsia" w:ascii="宋体" w:hAnsi="宋体" w:eastAsia="宋体" w:cs="宋体"/>
                <w:color w:val="auto"/>
                <w:sz w:val="21"/>
                <w:highlight w:val="none"/>
              </w:rPr>
            </w:pPr>
          </w:p>
        </w:tc>
      </w:tr>
    </w:tbl>
    <w:p>
      <w:pPr>
        <w:keepNext w:val="0"/>
        <w:keepLines w:val="0"/>
        <w:pageBreakBefore w:val="0"/>
        <w:widowControl w:val="0"/>
        <w:kinsoku/>
        <w:wordWrap/>
        <w:overflowPunct/>
        <w:topLinePunct w:val="0"/>
        <w:autoSpaceDE w:val="0"/>
        <w:autoSpaceDN w:val="0"/>
        <w:bidi w:val="0"/>
        <w:adjustRightInd/>
        <w:snapToGrid/>
        <w:spacing w:before="79" w:line="185" w:lineRule="auto"/>
        <w:textAlignment w:val="auto"/>
        <w:outlineLvl w:val="9"/>
        <w:rPr>
          <w:rFonts w:hint="eastAsia" w:ascii="宋体" w:hAnsi="宋体" w:eastAsia="宋体" w:cs="宋体"/>
          <w:color w:val="auto"/>
          <w:spacing w:val="-17"/>
          <w:sz w:val="24"/>
          <w:szCs w:val="24"/>
          <w:highlight w:val="none"/>
        </w:rPr>
      </w:pPr>
      <w:r>
        <w:rPr>
          <w:rFonts w:hint="eastAsia" w:ascii="宋体" w:hAnsi="宋体" w:eastAsia="宋体" w:cs="宋体"/>
          <w:color w:val="auto"/>
          <w:spacing w:val="-17"/>
          <w:sz w:val="24"/>
          <w:szCs w:val="24"/>
          <w:highlight w:val="none"/>
        </w:rPr>
        <w:t>注：</w:t>
      </w:r>
    </w:p>
    <w:p>
      <w:pPr>
        <w:keepNext w:val="0"/>
        <w:keepLines w:val="0"/>
        <w:pageBreakBefore w:val="0"/>
        <w:widowControl w:val="0"/>
        <w:kinsoku/>
        <w:wordWrap/>
        <w:overflowPunct/>
        <w:topLinePunct w:val="0"/>
        <w:autoSpaceDE w:val="0"/>
        <w:autoSpaceDN w:val="0"/>
        <w:bidi w:val="0"/>
        <w:adjustRightInd/>
        <w:snapToGrid/>
        <w:spacing w:before="79" w:line="185"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5"/>
          <w:position w:val="27"/>
          <w:sz w:val="24"/>
          <w:szCs w:val="24"/>
          <w:highlight w:val="none"/>
          <w:lang w:val="en-US" w:eastAsia="zh-CN"/>
        </w:rPr>
        <w:t>1</w:t>
      </w:r>
      <w:r>
        <w:rPr>
          <w:rFonts w:hint="eastAsia" w:ascii="宋体" w:hAnsi="宋体" w:eastAsia="宋体" w:cs="宋体"/>
          <w:color w:val="auto"/>
          <w:spacing w:val="-5"/>
          <w:position w:val="27"/>
          <w:sz w:val="24"/>
          <w:szCs w:val="24"/>
          <w:highlight w:val="none"/>
        </w:rPr>
        <w:t>.投标人可自行增加其它配件；</w:t>
      </w:r>
    </w:p>
    <w:p>
      <w:pPr>
        <w:keepNext w:val="0"/>
        <w:keepLines w:val="0"/>
        <w:pageBreakBefore w:val="0"/>
        <w:widowControl w:val="0"/>
        <w:kinsoku/>
        <w:wordWrap/>
        <w:overflowPunct/>
        <w:topLinePunct w:val="0"/>
        <w:autoSpaceDE w:val="0"/>
        <w:autoSpaceDN w:val="0"/>
        <w:bidi w:val="0"/>
        <w:adjustRightInd/>
        <w:snapToGrid/>
        <w:spacing w:line="204" w:lineRule="auto"/>
        <w:ind w:firstLine="5"/>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lang w:val="en-US" w:eastAsia="zh-CN"/>
        </w:rPr>
        <w:t>2</w:t>
      </w:r>
      <w:r>
        <w:rPr>
          <w:rFonts w:hint="eastAsia" w:ascii="宋体" w:hAnsi="宋体" w:eastAsia="宋体" w:cs="宋体"/>
          <w:color w:val="auto"/>
          <w:spacing w:val="-4"/>
          <w:sz w:val="24"/>
          <w:szCs w:val="24"/>
          <w:highlight w:val="none"/>
        </w:rPr>
        <w:t>.投标人的投标报价中已包含上表全部内容；</w:t>
      </w:r>
    </w:p>
    <w:p>
      <w:pPr>
        <w:keepNext w:val="0"/>
        <w:keepLines w:val="0"/>
        <w:pageBreakBefore w:val="0"/>
        <w:widowControl w:val="0"/>
        <w:kinsoku/>
        <w:wordWrap/>
        <w:overflowPunct/>
        <w:topLinePunct w:val="0"/>
        <w:autoSpaceDE w:val="0"/>
        <w:autoSpaceDN w:val="0"/>
        <w:bidi w:val="0"/>
        <w:adjustRightInd/>
        <w:snapToGrid/>
        <w:spacing w:before="331" w:line="185"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3</w:t>
      </w:r>
      <w:r>
        <w:rPr>
          <w:rFonts w:hint="eastAsia" w:ascii="宋体" w:hAnsi="宋体" w:eastAsia="宋体" w:cs="宋体"/>
          <w:color w:val="auto"/>
          <w:spacing w:val="-3"/>
          <w:sz w:val="24"/>
          <w:szCs w:val="24"/>
          <w:highlight w:val="none"/>
        </w:rPr>
        <w:t>.本项目电梯的安装、维保、维修使用的专用工具由承包人在货到现场安装时交由安装及售后</w:t>
      </w:r>
    </w:p>
    <w:p>
      <w:pPr>
        <w:keepNext w:val="0"/>
        <w:keepLines w:val="0"/>
        <w:pageBreakBefore w:val="0"/>
        <w:widowControl w:val="0"/>
        <w:kinsoku/>
        <w:wordWrap/>
        <w:overflowPunct/>
        <w:topLinePunct w:val="0"/>
        <w:autoSpaceDE w:val="0"/>
        <w:autoSpaceDN w:val="0"/>
        <w:bidi w:val="0"/>
        <w:adjustRightInd/>
        <w:snapToGrid/>
        <w:spacing w:before="78" w:line="185"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服务单位，所有费用含在投标报价中，不在另外计取。</w:t>
      </w:r>
    </w:p>
    <w:p>
      <w:pPr>
        <w:keepNext w:val="0"/>
        <w:keepLines w:val="0"/>
        <w:pageBreakBefore w:val="0"/>
        <w:widowControl w:val="0"/>
        <w:kinsoku/>
        <w:wordWrap/>
        <w:overflowPunct/>
        <w:topLinePunct w:val="0"/>
        <w:autoSpaceDE w:val="0"/>
        <w:autoSpaceDN w:val="0"/>
        <w:bidi w:val="0"/>
        <w:adjustRightInd/>
        <w:snapToGrid/>
        <w:spacing w:line="247"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ind w:firstLine="2"/>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投标人</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
          <w:sz w:val="24"/>
          <w:szCs w:val="24"/>
          <w:highlight w:val="none"/>
        </w:rPr>
        <w:t>盖单位章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
          <w:sz w:val="24"/>
          <w:szCs w:val="24"/>
          <w:highlight w:val="none"/>
        </w:rPr>
        <w:t>电子投标文件中须盖单位电子印章）</w:t>
      </w:r>
    </w:p>
    <w:p>
      <w:pPr>
        <w:keepNext w:val="0"/>
        <w:keepLines w:val="0"/>
        <w:pageBreakBefore w:val="0"/>
        <w:widowControl w:val="0"/>
        <w:kinsoku/>
        <w:wordWrap/>
        <w:overflowPunct/>
        <w:topLinePunct w:val="0"/>
        <w:autoSpaceDE w:val="0"/>
        <w:autoSpaceDN w:val="0"/>
        <w:bidi w:val="0"/>
        <w:adjustRightInd/>
        <w:snapToGrid/>
        <w:spacing w:line="247"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签字或盖章</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电子投标文件中须盖电子印章）</w:t>
      </w:r>
    </w:p>
    <w:p>
      <w:pPr>
        <w:keepNext w:val="0"/>
        <w:keepLines w:val="0"/>
        <w:pageBreakBefore w:val="0"/>
        <w:widowControl w:val="0"/>
        <w:kinsoku/>
        <w:wordWrap/>
        <w:overflowPunct/>
        <w:topLinePunct w:val="0"/>
        <w:autoSpaceDE w:val="0"/>
        <w:autoSpaceDN w:val="0"/>
        <w:bidi w:val="0"/>
        <w:adjustRightInd/>
        <w:snapToGrid/>
        <w:spacing w:line="247"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投标日期:</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5"/>
          <w:sz w:val="24"/>
          <w:szCs w:val="24"/>
          <w:highlight w:val="none"/>
        </w:rPr>
        <w:t>年</w:t>
      </w:r>
      <w:r>
        <w:rPr>
          <w:rFonts w:hint="eastAsia" w:ascii="宋体" w:hAnsi="宋体" w:eastAsia="宋体" w:cs="宋体"/>
          <w:color w:val="auto"/>
          <w:spacing w:val="75"/>
          <w:sz w:val="24"/>
          <w:szCs w:val="24"/>
          <w:highlight w:val="none"/>
        </w:rPr>
        <w:t xml:space="preserve"> </w:t>
      </w:r>
      <w:r>
        <w:rPr>
          <w:rFonts w:hint="eastAsia" w:ascii="宋体" w:hAnsi="宋体" w:eastAsia="宋体" w:cs="宋体"/>
          <w:color w:val="auto"/>
          <w:spacing w:val="-5"/>
          <w:sz w:val="24"/>
          <w:szCs w:val="24"/>
          <w:highlight w:val="none"/>
        </w:rPr>
        <w:t>月</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日</w:t>
      </w:r>
    </w:p>
    <w:p>
      <w:pPr>
        <w:keepNext w:val="0"/>
        <w:keepLines w:val="0"/>
        <w:pageBreakBefore w:val="0"/>
        <w:widowControl w:val="0"/>
        <w:kinsoku/>
        <w:wordWrap/>
        <w:overflowPunct/>
        <w:topLinePunct w:val="0"/>
        <w:autoSpaceDE w:val="0"/>
        <w:autoSpaceDN w:val="0"/>
        <w:bidi w:val="0"/>
        <w:adjustRightInd/>
        <w:snapToGrid/>
        <w:spacing w:before="111" w:line="279" w:lineRule="exact"/>
        <w:ind w:firstLine="3101"/>
        <w:textAlignment w:val="auto"/>
        <w:outlineLvl w:val="9"/>
        <w:rPr>
          <w:rFonts w:hint="eastAsia" w:ascii="宋体" w:hAnsi="宋体" w:eastAsia="宋体" w:cs="宋体"/>
          <w:b/>
          <w:bCs/>
          <w:color w:val="auto"/>
          <w:spacing w:val="19"/>
          <w:position w:val="-1"/>
          <w:sz w:val="26"/>
          <w:szCs w:val="26"/>
          <w:highlight w:val="none"/>
        </w:rPr>
      </w:pPr>
    </w:p>
    <w:p>
      <w:pPr>
        <w:keepNext w:val="0"/>
        <w:keepLines w:val="0"/>
        <w:pageBreakBefore w:val="0"/>
        <w:widowControl w:val="0"/>
        <w:kinsoku/>
        <w:wordWrap/>
        <w:overflowPunct/>
        <w:topLinePunct w:val="0"/>
        <w:autoSpaceDE w:val="0"/>
        <w:autoSpaceDN w:val="0"/>
        <w:bidi w:val="0"/>
        <w:adjustRightInd/>
        <w:snapToGrid/>
        <w:spacing w:before="111" w:line="279" w:lineRule="exact"/>
        <w:ind w:firstLine="3101"/>
        <w:textAlignment w:val="auto"/>
        <w:outlineLvl w:val="9"/>
        <w:rPr>
          <w:rFonts w:hint="eastAsia" w:ascii="宋体" w:hAnsi="宋体" w:eastAsia="宋体" w:cs="宋体"/>
          <w:b/>
          <w:bCs/>
          <w:color w:val="auto"/>
          <w:spacing w:val="19"/>
          <w:position w:val="-1"/>
          <w:sz w:val="26"/>
          <w:szCs w:val="26"/>
          <w:highlight w:val="none"/>
        </w:rPr>
      </w:pPr>
    </w:p>
    <w:p>
      <w:pPr>
        <w:pStyle w:val="2"/>
        <w:rPr>
          <w:rFonts w:hint="eastAsia" w:ascii="宋体" w:hAnsi="宋体" w:eastAsia="宋体" w:cs="宋体"/>
          <w:b/>
          <w:bCs/>
          <w:color w:val="auto"/>
          <w:spacing w:val="19"/>
          <w:position w:val="-1"/>
          <w:sz w:val="26"/>
          <w:szCs w:val="26"/>
          <w:highlight w:val="none"/>
        </w:rPr>
      </w:pPr>
    </w:p>
    <w:p>
      <w:pPr>
        <w:pStyle w:val="3"/>
        <w:rPr>
          <w:rFonts w:hint="eastAsia" w:ascii="宋体" w:hAnsi="宋体" w:eastAsia="宋体" w:cs="宋体"/>
          <w:b/>
          <w:bCs/>
          <w:color w:val="auto"/>
          <w:spacing w:val="19"/>
          <w:position w:val="-1"/>
          <w:sz w:val="26"/>
          <w:szCs w:val="26"/>
          <w:highlight w:val="none"/>
        </w:rPr>
      </w:pPr>
    </w:p>
    <w:p>
      <w:pPr>
        <w:rPr>
          <w:rFonts w:hint="eastAsia" w:ascii="宋体" w:hAnsi="宋体" w:eastAsia="宋体" w:cs="宋体"/>
          <w:b/>
          <w:bCs/>
          <w:color w:val="auto"/>
          <w:spacing w:val="19"/>
          <w:position w:val="-1"/>
          <w:sz w:val="26"/>
          <w:szCs w:val="26"/>
          <w:highlight w:val="none"/>
        </w:rPr>
      </w:pPr>
    </w:p>
    <w:p>
      <w:pPr>
        <w:pStyle w:val="2"/>
        <w:rPr>
          <w:rFonts w:hint="eastAsia" w:ascii="宋体" w:hAnsi="宋体" w:eastAsia="宋体" w:cs="宋体"/>
          <w:b/>
          <w:bCs/>
          <w:color w:val="auto"/>
          <w:spacing w:val="19"/>
          <w:position w:val="-1"/>
          <w:sz w:val="26"/>
          <w:szCs w:val="26"/>
          <w:highlight w:val="none"/>
        </w:rPr>
      </w:pPr>
    </w:p>
    <w:p>
      <w:pPr>
        <w:pStyle w:val="3"/>
        <w:rPr>
          <w:rFonts w:hint="eastAsia" w:ascii="宋体" w:hAnsi="宋体" w:eastAsia="宋体" w:cs="宋体"/>
          <w:b/>
          <w:bCs/>
          <w:color w:val="auto"/>
          <w:spacing w:val="19"/>
          <w:position w:val="-1"/>
          <w:sz w:val="26"/>
          <w:szCs w:val="26"/>
          <w:highlight w:val="none"/>
        </w:rPr>
      </w:pPr>
    </w:p>
    <w:p>
      <w:pPr>
        <w:rPr>
          <w:rFonts w:hint="eastAsia" w:ascii="宋体" w:hAnsi="宋体" w:eastAsia="宋体" w:cs="宋体"/>
          <w:b/>
          <w:bCs/>
          <w:color w:val="auto"/>
          <w:spacing w:val="19"/>
          <w:position w:val="-1"/>
          <w:sz w:val="26"/>
          <w:szCs w:val="26"/>
          <w:highlight w:val="none"/>
        </w:rPr>
      </w:pPr>
    </w:p>
    <w:p>
      <w:pPr>
        <w:pStyle w:val="2"/>
        <w:rPr>
          <w:rFonts w:hint="eastAsia" w:ascii="宋体" w:hAnsi="宋体" w:eastAsia="宋体" w:cs="宋体"/>
          <w:b/>
          <w:bCs/>
          <w:color w:val="auto"/>
          <w:spacing w:val="19"/>
          <w:position w:val="-1"/>
          <w:sz w:val="26"/>
          <w:szCs w:val="26"/>
          <w:highlight w:val="none"/>
        </w:rPr>
      </w:pPr>
    </w:p>
    <w:p>
      <w:pPr>
        <w:pStyle w:val="3"/>
        <w:rPr>
          <w:rFonts w:hint="eastAsia" w:ascii="宋体" w:hAnsi="宋体" w:eastAsia="宋体" w:cs="宋体"/>
          <w:b/>
          <w:bCs/>
          <w:color w:val="auto"/>
          <w:spacing w:val="19"/>
          <w:position w:val="-1"/>
          <w:sz w:val="26"/>
          <w:szCs w:val="26"/>
          <w:highlight w:val="none"/>
        </w:rPr>
      </w:pPr>
    </w:p>
    <w:p>
      <w:pPr>
        <w:rPr>
          <w:rFonts w:hint="eastAsia" w:ascii="宋体" w:hAnsi="宋体" w:eastAsia="宋体" w:cs="宋体"/>
          <w:b/>
          <w:bCs/>
          <w:color w:val="auto"/>
          <w:spacing w:val="19"/>
          <w:position w:val="-1"/>
          <w:sz w:val="26"/>
          <w:szCs w:val="26"/>
          <w:highlight w:val="none"/>
        </w:rPr>
      </w:pPr>
    </w:p>
    <w:p>
      <w:pPr>
        <w:pStyle w:val="2"/>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before="111" w:line="279" w:lineRule="exact"/>
        <w:ind w:firstLine="3101"/>
        <w:textAlignment w:val="auto"/>
        <w:outlineLvl w:val="9"/>
        <w:rPr>
          <w:rFonts w:hint="eastAsia" w:ascii="宋体" w:hAnsi="宋体" w:eastAsia="宋体" w:cs="宋体"/>
          <w:color w:val="auto"/>
          <w:sz w:val="26"/>
          <w:szCs w:val="26"/>
          <w:highlight w:val="none"/>
        </w:rPr>
      </w:pPr>
      <w:r>
        <w:rPr>
          <w:rFonts w:hint="eastAsia" w:ascii="宋体" w:hAnsi="宋体" w:eastAsia="宋体" w:cs="宋体"/>
          <w:b/>
          <w:bCs/>
          <w:color w:val="auto"/>
          <w:spacing w:val="19"/>
          <w:position w:val="-1"/>
          <w:sz w:val="26"/>
          <w:szCs w:val="26"/>
          <w:highlight w:val="none"/>
        </w:rPr>
        <w:t>技术规格配置对照表</w:t>
      </w:r>
    </w:p>
    <w:tbl>
      <w:tblPr>
        <w:tblStyle w:val="42"/>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76"/>
        <w:gridCol w:w="1758"/>
        <w:gridCol w:w="2322"/>
        <w:gridCol w:w="2254"/>
        <w:gridCol w:w="18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433" w:type="pct"/>
            <w:vAlign w:val="top"/>
          </w:tcPr>
          <w:p>
            <w:pPr>
              <w:keepNext w:val="0"/>
              <w:keepLines w:val="0"/>
              <w:pageBreakBefore w:val="0"/>
              <w:widowControl w:val="0"/>
              <w:kinsoku/>
              <w:wordWrap/>
              <w:overflowPunct/>
              <w:topLinePunct w:val="0"/>
              <w:autoSpaceDE w:val="0"/>
              <w:autoSpaceDN w:val="0"/>
              <w:bidi w:val="0"/>
              <w:adjustRightInd/>
              <w:snapToGrid/>
              <w:spacing w:line="370"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68" w:line="186" w:lineRule="auto"/>
              <w:ind w:firstLine="167"/>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序号</w:t>
            </w:r>
          </w:p>
        </w:tc>
        <w:tc>
          <w:tcPr>
            <w:tcW w:w="981" w:type="pct"/>
            <w:vAlign w:val="top"/>
          </w:tcPr>
          <w:p>
            <w:pPr>
              <w:keepNext w:val="0"/>
              <w:keepLines w:val="0"/>
              <w:pageBreakBefore w:val="0"/>
              <w:widowControl w:val="0"/>
              <w:kinsoku/>
              <w:wordWrap/>
              <w:overflowPunct/>
              <w:topLinePunct w:val="0"/>
              <w:autoSpaceDE w:val="0"/>
              <w:autoSpaceDN w:val="0"/>
              <w:bidi w:val="0"/>
              <w:adjustRightInd/>
              <w:snapToGrid/>
              <w:spacing w:before="65" w:line="369" w:lineRule="auto"/>
              <w:ind w:left="727" w:right="72" w:hanging="629"/>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技术规格参数名</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z w:val="24"/>
                <w:szCs w:val="24"/>
                <w:highlight w:val="none"/>
              </w:rPr>
              <w:t>称</w:t>
            </w:r>
          </w:p>
        </w:tc>
        <w:tc>
          <w:tcPr>
            <w:tcW w:w="1296" w:type="pct"/>
            <w:vAlign w:val="top"/>
          </w:tcPr>
          <w:p>
            <w:pPr>
              <w:keepNext w:val="0"/>
              <w:keepLines w:val="0"/>
              <w:pageBreakBefore w:val="0"/>
              <w:widowControl w:val="0"/>
              <w:kinsoku/>
              <w:wordWrap/>
              <w:overflowPunct/>
              <w:topLinePunct w:val="0"/>
              <w:autoSpaceDE w:val="0"/>
              <w:autoSpaceDN w:val="0"/>
              <w:bidi w:val="0"/>
              <w:adjustRightInd/>
              <w:snapToGrid/>
              <w:spacing w:line="370"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68" w:line="186" w:lineRule="auto"/>
              <w:ind w:firstLine="53"/>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招标货物技术参数要求</w:t>
            </w:r>
          </w:p>
        </w:tc>
        <w:tc>
          <w:tcPr>
            <w:tcW w:w="1258" w:type="pct"/>
            <w:vAlign w:val="top"/>
          </w:tcPr>
          <w:p>
            <w:pPr>
              <w:keepNext w:val="0"/>
              <w:keepLines w:val="0"/>
              <w:pageBreakBefore w:val="0"/>
              <w:widowControl w:val="0"/>
              <w:kinsoku/>
              <w:wordWrap/>
              <w:overflowPunct/>
              <w:topLinePunct w:val="0"/>
              <w:autoSpaceDE w:val="0"/>
              <w:autoSpaceDN w:val="0"/>
              <w:bidi w:val="0"/>
              <w:adjustRightInd/>
              <w:snapToGrid/>
              <w:spacing w:line="370"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68" w:line="186" w:lineRule="auto"/>
              <w:ind w:firstLine="21"/>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投标货物技术参数指标</w:t>
            </w:r>
          </w:p>
        </w:tc>
        <w:tc>
          <w:tcPr>
            <w:tcW w:w="1030" w:type="pct"/>
            <w:vAlign w:val="top"/>
          </w:tcPr>
          <w:p>
            <w:pPr>
              <w:keepNext w:val="0"/>
              <w:keepLines w:val="0"/>
              <w:pageBreakBefore w:val="0"/>
              <w:widowControl w:val="0"/>
              <w:kinsoku/>
              <w:wordWrap/>
              <w:overflowPunct/>
              <w:topLinePunct w:val="0"/>
              <w:autoSpaceDE w:val="0"/>
              <w:autoSpaceDN w:val="0"/>
              <w:bidi w:val="0"/>
              <w:adjustRightInd/>
              <w:snapToGrid/>
              <w:spacing w:before="65" w:line="369" w:lineRule="auto"/>
              <w:ind w:left="293" w:hanging="279"/>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选择项（正偏离或符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8"/>
                <w:sz w:val="24"/>
                <w:szCs w:val="24"/>
                <w:highlight w:val="none"/>
              </w:rPr>
              <w:t>合或负偏离）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00" w:type="pct"/>
            <w:gridSpan w:val="5"/>
            <w:vAlign w:val="top"/>
          </w:tcPr>
          <w:p>
            <w:pPr>
              <w:keepNext w:val="0"/>
              <w:keepLines w:val="0"/>
              <w:pageBreakBefore w:val="0"/>
              <w:widowControl w:val="0"/>
              <w:kinsoku/>
              <w:wordWrap/>
              <w:overflowPunct/>
              <w:topLinePunct w:val="0"/>
              <w:autoSpaceDE w:val="0"/>
              <w:autoSpaceDN w:val="0"/>
              <w:bidi w:val="0"/>
              <w:adjustRightInd/>
              <w:snapToGrid/>
              <w:spacing w:before="64" w:line="186" w:lineRule="auto"/>
              <w:ind w:firstLine="3831"/>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主要技术规格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433" w:type="pct"/>
            <w:vAlign w:val="top"/>
          </w:tcPr>
          <w:p>
            <w:pPr>
              <w:keepNext w:val="0"/>
              <w:keepLines w:val="0"/>
              <w:pageBreakBefore w:val="0"/>
              <w:widowControl w:val="0"/>
              <w:kinsoku/>
              <w:wordWrap/>
              <w:overflowPunct/>
              <w:topLinePunct w:val="0"/>
              <w:autoSpaceDE w:val="0"/>
              <w:autoSpaceDN w:val="0"/>
              <w:bidi w:val="0"/>
              <w:adjustRightInd/>
              <w:snapToGrid/>
              <w:spacing w:before="130" w:line="180" w:lineRule="auto"/>
              <w:ind w:firstLine="342"/>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981" w:type="pct"/>
            <w:vAlign w:val="top"/>
          </w:tcPr>
          <w:p>
            <w:pPr>
              <w:keepNext w:val="0"/>
              <w:keepLines w:val="0"/>
              <w:pageBreakBefore w:val="0"/>
              <w:widowControl w:val="0"/>
              <w:kinsoku/>
              <w:wordWrap/>
              <w:overflowPunct/>
              <w:topLinePunct w:val="0"/>
              <w:autoSpaceDE w:val="0"/>
              <w:autoSpaceDN w:val="0"/>
              <w:bidi w:val="0"/>
              <w:adjustRightInd/>
              <w:snapToGrid/>
              <w:spacing w:before="95" w:line="186" w:lineRule="auto"/>
              <w:ind w:firstLine="414"/>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轿厢地板</w:t>
            </w:r>
          </w:p>
        </w:tc>
        <w:tc>
          <w:tcPr>
            <w:tcW w:w="1296"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258"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0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433" w:type="pct"/>
            <w:vAlign w:val="top"/>
          </w:tcPr>
          <w:p>
            <w:pPr>
              <w:keepNext w:val="0"/>
              <w:keepLines w:val="0"/>
              <w:pageBreakBefore w:val="0"/>
              <w:widowControl w:val="0"/>
              <w:kinsoku/>
              <w:wordWrap/>
              <w:overflowPunct/>
              <w:topLinePunct w:val="0"/>
              <w:autoSpaceDE w:val="0"/>
              <w:autoSpaceDN w:val="0"/>
              <w:bidi w:val="0"/>
              <w:adjustRightInd/>
              <w:snapToGrid/>
              <w:spacing w:before="199" w:line="180" w:lineRule="auto"/>
              <w:ind w:firstLine="329"/>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981" w:type="pct"/>
            <w:vAlign w:val="top"/>
          </w:tcPr>
          <w:p>
            <w:pPr>
              <w:keepNext w:val="0"/>
              <w:keepLines w:val="0"/>
              <w:pageBreakBefore w:val="0"/>
              <w:widowControl w:val="0"/>
              <w:kinsoku/>
              <w:wordWrap/>
              <w:overflowPunct/>
              <w:topLinePunct w:val="0"/>
              <w:autoSpaceDE w:val="0"/>
              <w:autoSpaceDN w:val="0"/>
              <w:bidi w:val="0"/>
              <w:adjustRightInd/>
              <w:snapToGrid/>
              <w:spacing w:before="163" w:line="186" w:lineRule="auto"/>
              <w:ind w:firstLine="415"/>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开门方式</w:t>
            </w:r>
          </w:p>
        </w:tc>
        <w:tc>
          <w:tcPr>
            <w:tcW w:w="1296"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258"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0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433" w:type="pct"/>
            <w:vAlign w:val="top"/>
          </w:tcPr>
          <w:p>
            <w:pPr>
              <w:keepNext w:val="0"/>
              <w:keepLines w:val="0"/>
              <w:pageBreakBefore w:val="0"/>
              <w:widowControl w:val="0"/>
              <w:kinsoku/>
              <w:wordWrap/>
              <w:overflowPunct/>
              <w:topLinePunct w:val="0"/>
              <w:autoSpaceDE w:val="0"/>
              <w:autoSpaceDN w:val="0"/>
              <w:bidi w:val="0"/>
              <w:adjustRightInd/>
              <w:snapToGrid/>
              <w:spacing w:before="103" w:line="180" w:lineRule="auto"/>
              <w:ind w:firstLine="331"/>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981" w:type="pct"/>
            <w:vAlign w:val="top"/>
          </w:tcPr>
          <w:p>
            <w:pPr>
              <w:keepNext w:val="0"/>
              <w:keepLines w:val="0"/>
              <w:pageBreakBefore w:val="0"/>
              <w:widowControl w:val="0"/>
              <w:kinsoku/>
              <w:wordWrap/>
              <w:overflowPunct/>
              <w:topLinePunct w:val="0"/>
              <w:autoSpaceDE w:val="0"/>
              <w:autoSpaceDN w:val="0"/>
              <w:bidi w:val="0"/>
              <w:adjustRightInd/>
              <w:snapToGrid/>
              <w:spacing w:before="66" w:line="186" w:lineRule="auto"/>
              <w:ind w:firstLine="209"/>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消防功能要求</w:t>
            </w:r>
          </w:p>
        </w:tc>
        <w:tc>
          <w:tcPr>
            <w:tcW w:w="1296"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258"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0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0" w:hRule="atLeast"/>
        </w:trPr>
        <w:tc>
          <w:tcPr>
            <w:tcW w:w="433" w:type="pct"/>
            <w:vAlign w:val="top"/>
          </w:tcPr>
          <w:p>
            <w:pPr>
              <w:keepNext w:val="0"/>
              <w:keepLines w:val="0"/>
              <w:pageBreakBefore w:val="0"/>
              <w:widowControl w:val="0"/>
              <w:kinsoku/>
              <w:wordWrap/>
              <w:overflowPunct/>
              <w:topLinePunct w:val="0"/>
              <w:autoSpaceDE w:val="0"/>
              <w:autoSpaceDN w:val="0"/>
              <w:bidi w:val="0"/>
              <w:adjustRightInd/>
              <w:snapToGrid/>
              <w:spacing w:line="333"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68" w:line="180" w:lineRule="auto"/>
              <w:ind w:firstLine="326"/>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981" w:type="pct"/>
            <w:vAlign w:val="top"/>
          </w:tcPr>
          <w:p>
            <w:pPr>
              <w:keepNext w:val="0"/>
              <w:keepLines w:val="0"/>
              <w:pageBreakBefore w:val="0"/>
              <w:widowControl w:val="0"/>
              <w:kinsoku/>
              <w:wordWrap/>
              <w:overflowPunct/>
              <w:topLinePunct w:val="0"/>
              <w:autoSpaceDE w:val="0"/>
              <w:autoSpaceDN w:val="0"/>
              <w:bidi w:val="0"/>
              <w:adjustRightInd/>
              <w:snapToGrid/>
              <w:spacing w:line="301"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68" w:line="186" w:lineRule="auto"/>
              <w:ind w:firstLine="438"/>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门机系统</w:t>
            </w:r>
          </w:p>
        </w:tc>
        <w:tc>
          <w:tcPr>
            <w:tcW w:w="1296"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258"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0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atLeast"/>
        </w:trPr>
        <w:tc>
          <w:tcPr>
            <w:tcW w:w="433" w:type="pct"/>
            <w:vAlign w:val="top"/>
          </w:tcPr>
          <w:p>
            <w:pPr>
              <w:keepNext w:val="0"/>
              <w:keepLines w:val="0"/>
              <w:pageBreakBefore w:val="0"/>
              <w:widowControl w:val="0"/>
              <w:kinsoku/>
              <w:wordWrap/>
              <w:overflowPunct/>
              <w:topLinePunct w:val="0"/>
              <w:autoSpaceDE w:val="0"/>
              <w:autoSpaceDN w:val="0"/>
              <w:bidi w:val="0"/>
              <w:adjustRightInd/>
              <w:snapToGrid/>
              <w:spacing w:line="369"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68" w:line="180" w:lineRule="auto"/>
              <w:ind w:firstLine="331"/>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981" w:type="pct"/>
            <w:vAlign w:val="top"/>
          </w:tcPr>
          <w:p>
            <w:pPr>
              <w:keepNext w:val="0"/>
              <w:keepLines w:val="0"/>
              <w:pageBreakBefore w:val="0"/>
              <w:widowControl w:val="0"/>
              <w:kinsoku/>
              <w:wordWrap/>
              <w:overflowPunct/>
              <w:topLinePunct w:val="0"/>
              <w:autoSpaceDE w:val="0"/>
              <w:autoSpaceDN w:val="0"/>
              <w:bidi w:val="0"/>
              <w:adjustRightInd/>
              <w:snapToGrid/>
              <w:spacing w:line="336"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68" w:line="186" w:lineRule="auto"/>
              <w:ind w:firstLine="543"/>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门按钮</w:t>
            </w:r>
          </w:p>
        </w:tc>
        <w:tc>
          <w:tcPr>
            <w:tcW w:w="1296"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258"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0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433" w:type="pct"/>
            <w:vAlign w:val="top"/>
          </w:tcPr>
          <w:p>
            <w:pPr>
              <w:keepNext w:val="0"/>
              <w:keepLines w:val="0"/>
              <w:pageBreakBefore w:val="0"/>
              <w:widowControl w:val="0"/>
              <w:kinsoku/>
              <w:wordWrap/>
              <w:overflowPunct/>
              <w:topLinePunct w:val="0"/>
              <w:autoSpaceDE w:val="0"/>
              <w:autoSpaceDN w:val="0"/>
              <w:bidi w:val="0"/>
              <w:adjustRightInd/>
              <w:snapToGrid/>
              <w:spacing w:line="346"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69" w:line="180" w:lineRule="auto"/>
              <w:ind w:firstLine="328"/>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981" w:type="pct"/>
            <w:vAlign w:val="top"/>
          </w:tcPr>
          <w:p>
            <w:pPr>
              <w:keepNext w:val="0"/>
              <w:keepLines w:val="0"/>
              <w:pageBreakBefore w:val="0"/>
              <w:widowControl w:val="0"/>
              <w:kinsoku/>
              <w:wordWrap/>
              <w:overflowPunct/>
              <w:topLinePunct w:val="0"/>
              <w:autoSpaceDE w:val="0"/>
              <w:autoSpaceDN w:val="0"/>
              <w:bidi w:val="0"/>
              <w:adjustRightInd/>
              <w:snapToGrid/>
              <w:spacing w:line="314"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69" w:line="186" w:lineRule="auto"/>
              <w:ind w:firstLine="416"/>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驱动系统</w:t>
            </w:r>
          </w:p>
        </w:tc>
        <w:tc>
          <w:tcPr>
            <w:tcW w:w="1296"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258"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0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433" w:type="pct"/>
            <w:vAlign w:val="top"/>
          </w:tcPr>
          <w:p>
            <w:pPr>
              <w:keepNext w:val="0"/>
              <w:keepLines w:val="0"/>
              <w:pageBreakBefore w:val="0"/>
              <w:widowControl w:val="0"/>
              <w:kinsoku/>
              <w:wordWrap/>
              <w:overflowPunct/>
              <w:topLinePunct w:val="0"/>
              <w:autoSpaceDE w:val="0"/>
              <w:autoSpaceDN w:val="0"/>
              <w:bidi w:val="0"/>
              <w:adjustRightInd/>
              <w:snapToGrid/>
              <w:spacing w:before="112" w:line="180" w:lineRule="auto"/>
              <w:ind w:firstLine="332"/>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981" w:type="pct"/>
            <w:vAlign w:val="top"/>
          </w:tcPr>
          <w:p>
            <w:pPr>
              <w:keepNext w:val="0"/>
              <w:keepLines w:val="0"/>
              <w:pageBreakBefore w:val="0"/>
              <w:widowControl w:val="0"/>
              <w:kinsoku/>
              <w:wordWrap/>
              <w:overflowPunct/>
              <w:topLinePunct w:val="0"/>
              <w:autoSpaceDE w:val="0"/>
              <w:autoSpaceDN w:val="0"/>
              <w:bidi w:val="0"/>
              <w:adjustRightInd/>
              <w:snapToGrid/>
              <w:spacing w:before="75" w:line="186" w:lineRule="auto"/>
              <w:ind w:firstLine="523"/>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等....</w:t>
            </w:r>
          </w:p>
        </w:tc>
        <w:tc>
          <w:tcPr>
            <w:tcW w:w="1296"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258"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0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00" w:type="pct"/>
            <w:gridSpan w:val="5"/>
            <w:vAlign w:val="top"/>
          </w:tcPr>
          <w:p>
            <w:pPr>
              <w:keepNext w:val="0"/>
              <w:keepLines w:val="0"/>
              <w:pageBreakBefore w:val="0"/>
              <w:widowControl w:val="0"/>
              <w:kinsoku/>
              <w:wordWrap/>
              <w:overflowPunct/>
              <w:topLinePunct w:val="0"/>
              <w:autoSpaceDE w:val="0"/>
              <w:autoSpaceDN w:val="0"/>
              <w:bidi w:val="0"/>
              <w:adjustRightInd/>
              <w:snapToGrid/>
              <w:spacing w:before="76" w:line="186" w:lineRule="auto"/>
              <w:ind w:firstLine="3589"/>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基本技术规格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33" w:type="pct"/>
            <w:vAlign w:val="top"/>
          </w:tcPr>
          <w:p>
            <w:pPr>
              <w:keepNext w:val="0"/>
              <w:keepLines w:val="0"/>
              <w:pageBreakBefore w:val="0"/>
              <w:widowControl w:val="0"/>
              <w:kinsoku/>
              <w:wordWrap/>
              <w:overflowPunct/>
              <w:topLinePunct w:val="0"/>
              <w:autoSpaceDE w:val="0"/>
              <w:autoSpaceDN w:val="0"/>
              <w:bidi w:val="0"/>
              <w:adjustRightInd/>
              <w:snapToGrid/>
              <w:spacing w:line="408"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69" w:line="180" w:lineRule="auto"/>
              <w:ind w:firstLine="342"/>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981" w:type="pct"/>
            <w:vAlign w:val="top"/>
          </w:tcPr>
          <w:p>
            <w:pPr>
              <w:keepNext w:val="0"/>
              <w:keepLines w:val="0"/>
              <w:pageBreakBefore w:val="0"/>
              <w:widowControl w:val="0"/>
              <w:kinsoku/>
              <w:wordWrap/>
              <w:overflowPunct/>
              <w:topLinePunct w:val="0"/>
              <w:autoSpaceDE w:val="0"/>
              <w:autoSpaceDN w:val="0"/>
              <w:bidi w:val="0"/>
              <w:adjustRightInd/>
              <w:snapToGrid/>
              <w:spacing w:line="377" w:lineRule="auto"/>
              <w:textAlignment w:val="auto"/>
              <w:outlineLvl w:val="9"/>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69" w:line="186" w:lineRule="auto"/>
              <w:ind w:firstLine="417"/>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设备型号</w:t>
            </w:r>
          </w:p>
        </w:tc>
        <w:tc>
          <w:tcPr>
            <w:tcW w:w="1296" w:type="pct"/>
            <w:vAlign w:val="top"/>
          </w:tcPr>
          <w:p>
            <w:pPr>
              <w:keepNext w:val="0"/>
              <w:keepLines w:val="0"/>
              <w:pageBreakBefore w:val="0"/>
              <w:widowControl w:val="0"/>
              <w:kinsoku/>
              <w:wordWrap/>
              <w:overflowPunct/>
              <w:topLinePunct w:val="0"/>
              <w:autoSpaceDE w:val="0"/>
              <w:autoSpaceDN w:val="0"/>
              <w:bidi w:val="0"/>
              <w:adjustRightInd/>
              <w:snapToGrid/>
              <w:spacing w:before="74" w:line="369" w:lineRule="auto"/>
              <w:ind w:right="64"/>
              <w:textAlignment w:val="auto"/>
              <w:outlineLvl w:val="9"/>
              <w:rPr>
                <w:rFonts w:hint="eastAsia" w:ascii="宋体" w:hAnsi="宋体" w:eastAsia="宋体" w:cs="宋体"/>
                <w:color w:val="auto"/>
                <w:sz w:val="24"/>
                <w:szCs w:val="24"/>
                <w:highlight w:val="none"/>
              </w:rPr>
            </w:pPr>
          </w:p>
        </w:tc>
        <w:tc>
          <w:tcPr>
            <w:tcW w:w="1258"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0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433" w:type="pct"/>
            <w:vAlign w:val="top"/>
          </w:tcPr>
          <w:p>
            <w:pPr>
              <w:keepNext w:val="0"/>
              <w:keepLines w:val="0"/>
              <w:pageBreakBefore w:val="0"/>
              <w:widowControl w:val="0"/>
              <w:kinsoku/>
              <w:wordWrap/>
              <w:overflowPunct/>
              <w:topLinePunct w:val="0"/>
              <w:autoSpaceDE w:val="0"/>
              <w:autoSpaceDN w:val="0"/>
              <w:bidi w:val="0"/>
              <w:adjustRightInd/>
              <w:snapToGrid/>
              <w:spacing w:before="113" w:line="180" w:lineRule="auto"/>
              <w:ind w:firstLine="329"/>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981" w:type="pct"/>
            <w:vAlign w:val="top"/>
          </w:tcPr>
          <w:p>
            <w:pPr>
              <w:keepNext w:val="0"/>
              <w:keepLines w:val="0"/>
              <w:pageBreakBefore w:val="0"/>
              <w:widowControl w:val="0"/>
              <w:kinsoku/>
              <w:wordWrap/>
              <w:overflowPunct/>
              <w:topLinePunct w:val="0"/>
              <w:autoSpaceDE w:val="0"/>
              <w:autoSpaceDN w:val="0"/>
              <w:bidi w:val="0"/>
              <w:adjustRightInd/>
              <w:snapToGrid/>
              <w:spacing w:before="77" w:line="186" w:lineRule="auto"/>
              <w:ind w:firstLine="415"/>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提升速度</w:t>
            </w:r>
          </w:p>
        </w:tc>
        <w:tc>
          <w:tcPr>
            <w:tcW w:w="1296"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258"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0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33" w:type="pct"/>
            <w:vAlign w:val="top"/>
          </w:tcPr>
          <w:p>
            <w:pPr>
              <w:keepNext w:val="0"/>
              <w:keepLines w:val="0"/>
              <w:pageBreakBefore w:val="0"/>
              <w:widowControl w:val="0"/>
              <w:kinsoku/>
              <w:wordWrap/>
              <w:overflowPunct/>
              <w:topLinePunct w:val="0"/>
              <w:autoSpaceDE w:val="0"/>
              <w:autoSpaceDN w:val="0"/>
              <w:bidi w:val="0"/>
              <w:adjustRightInd/>
              <w:snapToGrid/>
              <w:spacing w:before="114" w:line="180" w:lineRule="auto"/>
              <w:ind w:firstLine="331"/>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981" w:type="pct"/>
            <w:vAlign w:val="top"/>
          </w:tcPr>
          <w:p>
            <w:pPr>
              <w:keepNext w:val="0"/>
              <w:keepLines w:val="0"/>
              <w:pageBreakBefore w:val="0"/>
              <w:widowControl w:val="0"/>
              <w:kinsoku/>
              <w:wordWrap/>
              <w:overflowPunct/>
              <w:topLinePunct w:val="0"/>
              <w:autoSpaceDE w:val="0"/>
              <w:autoSpaceDN w:val="0"/>
              <w:bidi w:val="0"/>
              <w:adjustRightInd/>
              <w:snapToGrid/>
              <w:spacing w:before="78" w:line="186" w:lineRule="auto"/>
              <w:ind w:firstLine="52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载重量</w:t>
            </w:r>
          </w:p>
        </w:tc>
        <w:tc>
          <w:tcPr>
            <w:tcW w:w="1296"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258"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0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433" w:type="pct"/>
            <w:vAlign w:val="top"/>
          </w:tcPr>
          <w:p>
            <w:pPr>
              <w:keepNext w:val="0"/>
              <w:keepLines w:val="0"/>
              <w:pageBreakBefore w:val="0"/>
              <w:widowControl w:val="0"/>
              <w:kinsoku/>
              <w:wordWrap/>
              <w:overflowPunct/>
              <w:topLinePunct w:val="0"/>
              <w:autoSpaceDE w:val="0"/>
              <w:autoSpaceDN w:val="0"/>
              <w:bidi w:val="0"/>
              <w:adjustRightInd/>
              <w:snapToGrid/>
              <w:spacing w:before="118" w:line="180" w:lineRule="auto"/>
              <w:ind w:firstLine="326"/>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981" w:type="pct"/>
            <w:vAlign w:val="top"/>
          </w:tcPr>
          <w:p>
            <w:pPr>
              <w:keepNext w:val="0"/>
              <w:keepLines w:val="0"/>
              <w:pageBreakBefore w:val="0"/>
              <w:widowControl w:val="0"/>
              <w:kinsoku/>
              <w:wordWrap/>
              <w:overflowPunct/>
              <w:topLinePunct w:val="0"/>
              <w:autoSpaceDE w:val="0"/>
              <w:autoSpaceDN w:val="0"/>
              <w:bidi w:val="0"/>
              <w:adjustRightInd/>
              <w:snapToGrid/>
              <w:spacing w:before="82" w:line="186" w:lineRule="auto"/>
              <w:ind w:firstLine="628"/>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功能</w:t>
            </w:r>
          </w:p>
        </w:tc>
        <w:tc>
          <w:tcPr>
            <w:tcW w:w="1296"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258"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0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433" w:type="pct"/>
            <w:vAlign w:val="top"/>
          </w:tcPr>
          <w:p>
            <w:pPr>
              <w:keepNext w:val="0"/>
              <w:keepLines w:val="0"/>
              <w:pageBreakBefore w:val="0"/>
              <w:widowControl w:val="0"/>
              <w:kinsoku/>
              <w:wordWrap/>
              <w:overflowPunct/>
              <w:topLinePunct w:val="0"/>
              <w:autoSpaceDE w:val="0"/>
              <w:autoSpaceDN w:val="0"/>
              <w:bidi w:val="0"/>
              <w:adjustRightInd/>
              <w:snapToGrid/>
              <w:spacing w:before="118" w:line="180" w:lineRule="auto"/>
              <w:ind w:firstLine="331"/>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981" w:type="pct"/>
            <w:vAlign w:val="top"/>
          </w:tcPr>
          <w:p>
            <w:pPr>
              <w:keepNext w:val="0"/>
              <w:keepLines w:val="0"/>
              <w:pageBreakBefore w:val="0"/>
              <w:widowControl w:val="0"/>
              <w:kinsoku/>
              <w:wordWrap/>
              <w:overflowPunct/>
              <w:topLinePunct w:val="0"/>
              <w:autoSpaceDE w:val="0"/>
              <w:autoSpaceDN w:val="0"/>
              <w:bidi w:val="0"/>
              <w:adjustRightInd/>
              <w:snapToGrid/>
              <w:spacing w:before="81" w:line="186" w:lineRule="auto"/>
              <w:ind w:firstLine="626"/>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停站</w:t>
            </w:r>
          </w:p>
        </w:tc>
        <w:tc>
          <w:tcPr>
            <w:tcW w:w="1296"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258"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0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433" w:type="pct"/>
            <w:vAlign w:val="top"/>
          </w:tcPr>
          <w:p>
            <w:pPr>
              <w:keepNext w:val="0"/>
              <w:keepLines w:val="0"/>
              <w:pageBreakBefore w:val="0"/>
              <w:widowControl w:val="0"/>
              <w:kinsoku/>
              <w:wordWrap/>
              <w:overflowPunct/>
              <w:topLinePunct w:val="0"/>
              <w:autoSpaceDE w:val="0"/>
              <w:autoSpaceDN w:val="0"/>
              <w:bidi w:val="0"/>
              <w:adjustRightInd/>
              <w:snapToGrid/>
              <w:spacing w:before="135" w:line="180" w:lineRule="auto"/>
              <w:ind w:firstLine="328"/>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981" w:type="pct"/>
            <w:vAlign w:val="top"/>
          </w:tcPr>
          <w:p>
            <w:pPr>
              <w:keepNext w:val="0"/>
              <w:keepLines w:val="0"/>
              <w:pageBreakBefore w:val="0"/>
              <w:widowControl w:val="0"/>
              <w:kinsoku/>
              <w:wordWrap/>
              <w:overflowPunct/>
              <w:topLinePunct w:val="0"/>
              <w:autoSpaceDE w:val="0"/>
              <w:autoSpaceDN w:val="0"/>
              <w:bidi w:val="0"/>
              <w:adjustRightInd/>
              <w:snapToGrid/>
              <w:spacing w:before="99" w:line="186" w:lineRule="auto"/>
              <w:ind w:firstLine="415"/>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提升高度</w:t>
            </w:r>
          </w:p>
        </w:tc>
        <w:tc>
          <w:tcPr>
            <w:tcW w:w="1296"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258"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0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433" w:type="pct"/>
            <w:vAlign w:val="top"/>
          </w:tcPr>
          <w:p>
            <w:pPr>
              <w:keepNext w:val="0"/>
              <w:keepLines w:val="0"/>
              <w:pageBreakBefore w:val="0"/>
              <w:widowControl w:val="0"/>
              <w:kinsoku/>
              <w:wordWrap/>
              <w:overflowPunct/>
              <w:topLinePunct w:val="0"/>
              <w:autoSpaceDE w:val="0"/>
              <w:autoSpaceDN w:val="0"/>
              <w:bidi w:val="0"/>
              <w:adjustRightInd/>
              <w:snapToGrid/>
              <w:spacing w:before="135" w:line="180" w:lineRule="auto"/>
              <w:ind w:firstLine="332"/>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981" w:type="pct"/>
            <w:vAlign w:val="top"/>
          </w:tcPr>
          <w:p>
            <w:pPr>
              <w:keepNext w:val="0"/>
              <w:keepLines w:val="0"/>
              <w:pageBreakBefore w:val="0"/>
              <w:widowControl w:val="0"/>
              <w:kinsoku/>
              <w:wordWrap/>
              <w:overflowPunct/>
              <w:topLinePunct w:val="0"/>
              <w:autoSpaceDE w:val="0"/>
              <w:autoSpaceDN w:val="0"/>
              <w:bidi w:val="0"/>
              <w:adjustRightInd/>
              <w:snapToGrid/>
              <w:spacing w:before="98" w:line="186" w:lineRule="auto"/>
              <w:ind w:firstLine="576"/>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等...</w:t>
            </w:r>
          </w:p>
        </w:tc>
        <w:tc>
          <w:tcPr>
            <w:tcW w:w="1296"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258"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c>
          <w:tcPr>
            <w:tcW w:w="1030" w:type="pct"/>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eastAsia="宋体" w:cs="宋体"/>
                <w:color w:val="auto"/>
                <w:sz w:val="24"/>
                <w:szCs w:val="24"/>
                <w:highlight w:val="none"/>
              </w:rPr>
            </w:pPr>
          </w:p>
        </w:tc>
      </w:tr>
    </w:tbl>
    <w:p>
      <w:pPr>
        <w:keepNext w:val="0"/>
        <w:keepLines w:val="0"/>
        <w:pageBreakBefore w:val="0"/>
        <w:widowControl w:val="0"/>
        <w:kinsoku/>
        <w:wordWrap/>
        <w:overflowPunct/>
        <w:topLinePunct w:val="0"/>
        <w:autoSpaceDE w:val="0"/>
        <w:autoSpaceDN w:val="0"/>
        <w:bidi w:val="0"/>
        <w:adjustRightInd/>
        <w:snapToGrid/>
        <w:spacing w:before="317" w:line="366" w:lineRule="auto"/>
        <w:textAlignment w:val="auto"/>
        <w:outlineLvl w:val="9"/>
        <w:rPr>
          <w:rFonts w:hint="eastAsia" w:ascii="宋体" w:hAnsi="宋体" w:eastAsia="宋体" w:cs="宋体"/>
          <w:color w:val="auto"/>
          <w:spacing w:val="121"/>
          <w:sz w:val="24"/>
          <w:szCs w:val="24"/>
          <w:highlight w:val="none"/>
        </w:rPr>
      </w:pPr>
      <w:r>
        <w:rPr>
          <w:rFonts w:hint="eastAsia" w:ascii="宋体" w:hAnsi="宋体" w:eastAsia="宋体" w:cs="宋体"/>
          <w:color w:val="auto"/>
          <w:spacing w:val="-10"/>
          <w:w w:val="98"/>
          <w:sz w:val="24"/>
          <w:szCs w:val="24"/>
          <w:highlight w:val="none"/>
        </w:rPr>
        <w:t>注：</w:t>
      </w:r>
      <w:r>
        <w:rPr>
          <w:rFonts w:hint="eastAsia" w:ascii="宋体" w:hAnsi="宋体" w:eastAsia="宋体" w:cs="宋体"/>
          <w:color w:val="auto"/>
          <w:spacing w:val="121"/>
          <w:sz w:val="24"/>
          <w:szCs w:val="24"/>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78" w:line="185" w:lineRule="auto"/>
        <w:ind w:firstLine="1"/>
        <w:textAlignment w:val="auto"/>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lang w:val="en-US" w:eastAsia="zh-CN"/>
        </w:rPr>
        <w:t>1、</w:t>
      </w:r>
      <w:r>
        <w:rPr>
          <w:rFonts w:hint="eastAsia" w:ascii="宋体" w:hAnsi="宋体" w:eastAsia="宋体" w:cs="宋体"/>
          <w:color w:val="auto"/>
          <w:spacing w:val="-1"/>
          <w:sz w:val="24"/>
          <w:szCs w:val="24"/>
          <w:highlight w:val="none"/>
        </w:rPr>
        <w:t>投标人按格式详细说明 有关产品及配置的情况；</w:t>
      </w:r>
    </w:p>
    <w:p>
      <w:pPr>
        <w:keepNext w:val="0"/>
        <w:keepLines w:val="0"/>
        <w:pageBreakBefore w:val="0"/>
        <w:widowControl w:val="0"/>
        <w:kinsoku/>
        <w:wordWrap/>
        <w:overflowPunct/>
        <w:topLinePunct w:val="0"/>
        <w:autoSpaceDE w:val="0"/>
        <w:autoSpaceDN w:val="0"/>
        <w:bidi w:val="0"/>
        <w:adjustRightInd/>
        <w:snapToGrid/>
        <w:spacing w:before="78" w:line="185" w:lineRule="auto"/>
        <w:ind w:firstLine="1"/>
        <w:textAlignment w:val="auto"/>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rPr>
        <w:t>表填写内容较多时投标人可按本表格式进行续接。</w:t>
      </w:r>
    </w:p>
    <w:p>
      <w:pPr>
        <w:keepNext w:val="0"/>
        <w:keepLines w:val="0"/>
        <w:pageBreakBefore w:val="0"/>
        <w:widowControl w:val="0"/>
        <w:kinsoku/>
        <w:wordWrap/>
        <w:overflowPunct/>
        <w:topLinePunct w:val="0"/>
        <w:autoSpaceDE w:val="0"/>
        <w:autoSpaceDN w:val="0"/>
        <w:bidi w:val="0"/>
        <w:adjustRightInd/>
        <w:snapToGrid/>
        <w:spacing w:before="78" w:line="185" w:lineRule="auto"/>
        <w:ind w:firstLine="1"/>
        <w:textAlignment w:val="auto"/>
        <w:outlineLvl w:val="9"/>
        <w:rPr>
          <w:rFonts w:hint="eastAsia" w:ascii="宋体" w:hAnsi="宋体" w:eastAsia="宋体" w:cs="宋体"/>
          <w:color w:val="auto"/>
          <w:spacing w:val="-1"/>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ind w:firstLine="1"/>
        <w:textAlignment w:val="auto"/>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rPr>
        <w:t>、无论投标人如何填写本表，只要承诺响应本项目招标需求，无负偏离，本表即视为合格。</w:t>
      </w:r>
    </w:p>
    <w:p>
      <w:pPr>
        <w:keepNext w:val="0"/>
        <w:keepLines w:val="0"/>
        <w:pageBreakBefore w:val="0"/>
        <w:widowControl w:val="0"/>
        <w:kinsoku/>
        <w:wordWrap/>
        <w:overflowPunct/>
        <w:topLinePunct w:val="0"/>
        <w:autoSpaceDE w:val="0"/>
        <w:autoSpaceDN w:val="0"/>
        <w:bidi w:val="0"/>
        <w:adjustRightInd/>
        <w:snapToGrid/>
        <w:spacing w:before="78" w:line="185" w:lineRule="auto"/>
        <w:ind w:firstLine="1"/>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投标人</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
          <w:sz w:val="24"/>
          <w:szCs w:val="24"/>
          <w:highlight w:val="none"/>
        </w:rPr>
        <w:t>盖单位章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
          <w:sz w:val="24"/>
          <w:szCs w:val="24"/>
          <w:highlight w:val="none"/>
        </w:rPr>
        <w:t>电子投标文件中须盖单位电子印章）</w:t>
      </w:r>
    </w:p>
    <w:p>
      <w:pPr>
        <w:keepNext w:val="0"/>
        <w:keepLines w:val="0"/>
        <w:pageBreakBefore w:val="0"/>
        <w:widowControl w:val="0"/>
        <w:kinsoku/>
        <w:wordWrap/>
        <w:overflowPunct/>
        <w:topLinePunct w:val="0"/>
        <w:autoSpaceDE w:val="0"/>
        <w:autoSpaceDN w:val="0"/>
        <w:bidi w:val="0"/>
        <w:adjustRightInd/>
        <w:snapToGrid/>
        <w:spacing w:line="247"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签字或盖章</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电子投标文件中须盖电子印章）</w:t>
      </w:r>
    </w:p>
    <w:p>
      <w:pPr>
        <w:keepNext w:val="0"/>
        <w:keepLines w:val="0"/>
        <w:pageBreakBefore w:val="0"/>
        <w:widowControl w:val="0"/>
        <w:kinsoku/>
        <w:wordWrap/>
        <w:overflowPunct/>
        <w:topLinePunct w:val="0"/>
        <w:autoSpaceDE w:val="0"/>
        <w:autoSpaceDN w:val="0"/>
        <w:bidi w:val="0"/>
        <w:adjustRightInd/>
        <w:snapToGrid/>
        <w:spacing w:line="247" w:lineRule="auto"/>
        <w:textAlignment w:val="auto"/>
        <w:outlineLvl w:val="9"/>
        <w:rPr>
          <w:rFonts w:hint="eastAsia" w:ascii="宋体" w:hAnsi="宋体" w:eastAsia="宋体" w:cs="宋体"/>
          <w:color w:val="auto"/>
          <w:sz w:val="21"/>
          <w:highlight w:val="none"/>
        </w:rPr>
      </w:pPr>
    </w:p>
    <w:p>
      <w:pPr>
        <w:keepNext w:val="0"/>
        <w:keepLines w:val="0"/>
        <w:pageBreakBefore w:val="0"/>
        <w:widowControl w:val="0"/>
        <w:kinsoku/>
        <w:wordWrap/>
        <w:overflowPunct/>
        <w:topLinePunct w:val="0"/>
        <w:autoSpaceDE w:val="0"/>
        <w:autoSpaceDN w:val="0"/>
        <w:bidi w:val="0"/>
        <w:adjustRightInd/>
        <w:snapToGrid/>
        <w:spacing w:before="78" w:line="185" w:lineRule="auto"/>
        <w:ind w:firstLine="1"/>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投标日期:</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5"/>
          <w:sz w:val="24"/>
          <w:szCs w:val="24"/>
          <w:highlight w:val="none"/>
        </w:rPr>
        <w:t>年</w:t>
      </w:r>
      <w:r>
        <w:rPr>
          <w:rFonts w:hint="eastAsia" w:ascii="宋体" w:hAnsi="宋体" w:eastAsia="宋体" w:cs="宋体"/>
          <w:color w:val="auto"/>
          <w:spacing w:val="75"/>
          <w:sz w:val="24"/>
          <w:szCs w:val="24"/>
          <w:highlight w:val="none"/>
        </w:rPr>
        <w:t xml:space="preserve"> </w:t>
      </w:r>
      <w:r>
        <w:rPr>
          <w:rFonts w:hint="eastAsia" w:ascii="宋体" w:hAnsi="宋体" w:eastAsia="宋体" w:cs="宋体"/>
          <w:color w:val="auto"/>
          <w:spacing w:val="-5"/>
          <w:sz w:val="24"/>
          <w:szCs w:val="24"/>
          <w:highlight w:val="none"/>
        </w:rPr>
        <w:t>月</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日</w:t>
      </w: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val="0"/>
        <w:autoSpaceDN w:val="0"/>
        <w:bidi w:val="0"/>
        <w:adjustRightInd/>
        <w:snapToGrid/>
        <w:spacing w:line="488" w:lineRule="exact"/>
        <w:ind w:left="121" w:right="136"/>
        <w:textAlignment w:val="auto"/>
        <w:outlineLvl w:val="9"/>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p>
    <w:p>
      <w:pPr>
        <w:pStyle w:val="6"/>
        <w:spacing w:line="488" w:lineRule="exact"/>
        <w:ind w:left="121" w:right="136"/>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rPr>
        <w:t>、商务标</w:t>
      </w:r>
    </w:p>
    <w:p>
      <w:pPr>
        <w:pStyle w:val="2"/>
        <w:rPr>
          <w:rFonts w:hint="eastAsia" w:ascii="宋体" w:hAnsi="宋体" w:eastAsia="宋体" w:cs="宋体"/>
          <w:b/>
          <w:color w:val="auto"/>
          <w:sz w:val="28"/>
          <w:highlight w:val="none"/>
        </w:rPr>
      </w:pPr>
    </w:p>
    <w:p>
      <w:pPr>
        <w:pStyle w:val="2"/>
        <w:spacing w:before="12"/>
        <w:rPr>
          <w:rFonts w:hint="eastAsia" w:ascii="宋体" w:hAnsi="宋体" w:eastAsia="宋体" w:cs="宋体"/>
          <w:b/>
          <w:color w:val="auto"/>
          <w:sz w:val="41"/>
          <w:highlight w:val="none"/>
        </w:rPr>
      </w:pPr>
    </w:p>
    <w:p>
      <w:pPr>
        <w:pStyle w:val="8"/>
        <w:tabs>
          <w:tab w:val="left" w:pos="2992"/>
        </w:tabs>
        <w:ind w:left="100"/>
        <w:jc w:val="center"/>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lang w:val="en-US"/>
        </w:rPr>
        <w:t xml:space="preserve">                         </w:t>
      </w:r>
      <w:r>
        <w:rPr>
          <w:rFonts w:hint="eastAsia" w:ascii="宋体" w:hAnsi="宋体" w:eastAsia="宋体" w:cs="宋体"/>
          <w:color w:val="auto"/>
          <w:highlight w:val="none"/>
          <w:lang w:val="en-US"/>
        </w:rPr>
        <w:t>项目</w:t>
      </w:r>
      <w:r>
        <w:rPr>
          <w:rFonts w:hint="eastAsia" w:ascii="宋体" w:hAnsi="宋体" w:eastAsia="宋体" w:cs="宋体"/>
          <w:color w:val="auto"/>
          <w:highlight w:val="none"/>
        </w:rPr>
        <w:t>招标</w:t>
      </w:r>
    </w:p>
    <w:p>
      <w:pPr>
        <w:pStyle w:val="2"/>
        <w:rPr>
          <w:rFonts w:hint="eastAsia" w:ascii="宋体" w:hAnsi="宋体" w:eastAsia="宋体" w:cs="宋体"/>
          <w:b/>
          <w:color w:val="auto"/>
          <w:sz w:val="20"/>
          <w:highlight w:val="none"/>
        </w:rPr>
      </w:pPr>
    </w:p>
    <w:p>
      <w:pPr>
        <w:pStyle w:val="2"/>
        <w:rPr>
          <w:rFonts w:hint="eastAsia" w:ascii="宋体" w:hAnsi="宋体" w:eastAsia="宋体" w:cs="宋体"/>
          <w:b/>
          <w:color w:val="auto"/>
          <w:sz w:val="20"/>
          <w:highlight w:val="none"/>
        </w:rPr>
      </w:pPr>
    </w:p>
    <w:p>
      <w:pPr>
        <w:pStyle w:val="2"/>
        <w:spacing w:before="3"/>
        <w:rPr>
          <w:rFonts w:hint="eastAsia" w:ascii="宋体" w:hAnsi="宋体" w:eastAsia="宋体" w:cs="宋体"/>
          <w:b/>
          <w:color w:val="auto"/>
          <w:sz w:val="27"/>
          <w:highlight w:val="none"/>
        </w:rPr>
      </w:pPr>
    </w:p>
    <w:p>
      <w:pPr>
        <w:tabs>
          <w:tab w:val="left" w:pos="602"/>
          <w:tab w:val="left" w:pos="1205"/>
          <w:tab w:val="left" w:pos="1807"/>
        </w:tabs>
        <w:spacing w:line="515" w:lineRule="exact"/>
        <w:ind w:right="14"/>
        <w:jc w:val="center"/>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投</w:t>
      </w:r>
      <w:r>
        <w:rPr>
          <w:rFonts w:hint="eastAsia" w:ascii="宋体" w:hAnsi="宋体" w:eastAsia="宋体" w:cs="宋体"/>
          <w:b/>
          <w:color w:val="auto"/>
          <w:sz w:val="30"/>
          <w:highlight w:val="none"/>
        </w:rPr>
        <w:tab/>
      </w:r>
      <w:r>
        <w:rPr>
          <w:rFonts w:hint="eastAsia" w:ascii="宋体" w:hAnsi="宋体" w:eastAsia="宋体" w:cs="宋体"/>
          <w:b/>
          <w:color w:val="auto"/>
          <w:sz w:val="30"/>
          <w:highlight w:val="none"/>
        </w:rPr>
        <w:t>标</w:t>
      </w:r>
      <w:r>
        <w:rPr>
          <w:rFonts w:hint="eastAsia" w:ascii="宋体" w:hAnsi="宋体" w:eastAsia="宋体" w:cs="宋体"/>
          <w:b/>
          <w:color w:val="auto"/>
          <w:sz w:val="30"/>
          <w:highlight w:val="none"/>
        </w:rPr>
        <w:tab/>
      </w:r>
      <w:r>
        <w:rPr>
          <w:rFonts w:hint="eastAsia" w:ascii="宋体" w:hAnsi="宋体" w:eastAsia="宋体" w:cs="宋体"/>
          <w:b/>
          <w:color w:val="auto"/>
          <w:sz w:val="30"/>
          <w:highlight w:val="none"/>
        </w:rPr>
        <w:t>文</w:t>
      </w:r>
      <w:r>
        <w:rPr>
          <w:rFonts w:hint="eastAsia" w:ascii="宋体" w:hAnsi="宋体" w:eastAsia="宋体" w:cs="宋体"/>
          <w:b/>
          <w:color w:val="auto"/>
          <w:sz w:val="30"/>
          <w:highlight w:val="none"/>
        </w:rPr>
        <w:tab/>
      </w:r>
      <w:r>
        <w:rPr>
          <w:rFonts w:hint="eastAsia" w:ascii="宋体" w:hAnsi="宋体" w:eastAsia="宋体" w:cs="宋体"/>
          <w:b/>
          <w:color w:val="auto"/>
          <w:sz w:val="30"/>
          <w:highlight w:val="none"/>
        </w:rPr>
        <w:t>件</w:t>
      </w:r>
    </w:p>
    <w:p>
      <w:pPr>
        <w:spacing w:before="97"/>
        <w:ind w:left="121" w:right="13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项目编号：</w:t>
      </w:r>
    </w:p>
    <w:p>
      <w:pPr>
        <w:pStyle w:val="2"/>
        <w:rPr>
          <w:rFonts w:hint="eastAsia" w:ascii="宋体" w:hAnsi="宋体" w:eastAsia="宋体" w:cs="宋体"/>
          <w:b/>
          <w:color w:val="auto"/>
          <w:highlight w:val="none"/>
        </w:rPr>
      </w:pPr>
    </w:p>
    <w:p>
      <w:pPr>
        <w:pStyle w:val="2"/>
        <w:rPr>
          <w:rFonts w:hint="eastAsia" w:ascii="宋体" w:hAnsi="宋体" w:eastAsia="宋体" w:cs="宋体"/>
          <w:b/>
          <w:color w:val="auto"/>
          <w:highlight w:val="none"/>
        </w:rPr>
      </w:pPr>
    </w:p>
    <w:p>
      <w:pPr>
        <w:pStyle w:val="2"/>
        <w:rPr>
          <w:rFonts w:hint="eastAsia" w:ascii="宋体" w:hAnsi="宋体" w:eastAsia="宋体" w:cs="宋体"/>
          <w:b/>
          <w:color w:val="auto"/>
          <w:highlight w:val="none"/>
        </w:rPr>
      </w:pPr>
    </w:p>
    <w:p>
      <w:pPr>
        <w:pStyle w:val="2"/>
        <w:rPr>
          <w:rFonts w:hint="eastAsia" w:ascii="宋体" w:hAnsi="宋体" w:eastAsia="宋体" w:cs="宋体"/>
          <w:b/>
          <w:color w:val="auto"/>
          <w:highlight w:val="none"/>
        </w:rPr>
      </w:pPr>
    </w:p>
    <w:p>
      <w:pPr>
        <w:tabs>
          <w:tab w:val="left" w:pos="6802"/>
        </w:tabs>
        <w:spacing w:line="360" w:lineRule="auto"/>
        <w:ind w:firstLine="482" w:firstLineChars="200"/>
        <w:jc w:val="both"/>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rPr>
        <w:t>项目名称：</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rPr>
        <w:tab/>
      </w:r>
    </w:p>
    <w:p>
      <w:pPr>
        <w:tabs>
          <w:tab w:val="left" w:pos="6802"/>
        </w:tabs>
        <w:spacing w:line="360" w:lineRule="auto"/>
        <w:ind w:firstLine="482" w:firstLineChars="200"/>
        <w:jc w:val="both"/>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rPr>
        <w:t>投标文件内容：</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lang w:val="en-US"/>
        </w:rPr>
        <w:t xml:space="preserve">             投标文件商务标</w:t>
      </w:r>
      <w:r>
        <w:rPr>
          <w:rFonts w:hint="eastAsia" w:ascii="宋体" w:hAnsi="宋体" w:eastAsia="宋体" w:cs="宋体"/>
          <w:b/>
          <w:color w:val="auto"/>
          <w:sz w:val="24"/>
          <w:highlight w:val="none"/>
          <w:u w:val="single"/>
        </w:rPr>
        <w:tab/>
      </w:r>
    </w:p>
    <w:p>
      <w:pPr>
        <w:tabs>
          <w:tab w:val="left" w:pos="6802"/>
        </w:tabs>
        <w:spacing w:line="360" w:lineRule="auto"/>
        <w:ind w:firstLine="482" w:firstLineChars="200"/>
        <w:jc w:val="both"/>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rPr>
        <w:t>投  标 人：</w:t>
      </w:r>
      <w:r>
        <w:rPr>
          <w:rFonts w:hint="eastAsia" w:ascii="宋体" w:hAnsi="宋体" w:eastAsia="宋体" w:cs="宋体"/>
          <w:b/>
          <w:color w:val="auto"/>
          <w:sz w:val="24"/>
          <w:highlight w:val="none"/>
          <w:lang w:val="en-US"/>
        </w:rPr>
        <w:t xml:space="preserve">  </w:t>
      </w:r>
      <w:r>
        <w:rPr>
          <w:rFonts w:hint="eastAsia" w:ascii="宋体" w:hAnsi="宋体" w:eastAsia="宋体" w:cs="宋体"/>
          <w:b/>
          <w:color w:val="auto"/>
          <w:sz w:val="24"/>
          <w:highlight w:val="none"/>
          <w:u w:val="single"/>
          <w:lang w:val="en-US"/>
        </w:rPr>
        <w:t xml:space="preserve">          </w:t>
      </w:r>
      <w:r>
        <w:rPr>
          <w:rFonts w:hint="eastAsia" w:ascii="宋体" w:hAnsi="宋体" w:eastAsia="宋体" w:cs="宋体"/>
          <w:b/>
          <w:color w:val="auto"/>
          <w:sz w:val="24"/>
          <w:highlight w:val="none"/>
          <w:u w:val="single"/>
        </w:rPr>
        <w:t>（盖公章）（电子投标文件中须盖单位电子印章）</w:t>
      </w:r>
    </w:p>
    <w:p>
      <w:pPr>
        <w:tabs>
          <w:tab w:val="left" w:pos="6802"/>
        </w:tabs>
        <w:spacing w:line="360" w:lineRule="auto"/>
        <w:ind w:firstLine="482" w:firstLineChars="200"/>
        <w:jc w:val="both"/>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法定代表人或其委托代理人：</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lang w:val="en-US"/>
        </w:rPr>
        <w:t xml:space="preserve">     </w:t>
      </w:r>
      <w:r>
        <w:rPr>
          <w:rFonts w:hint="eastAsia" w:ascii="宋体" w:hAnsi="宋体" w:eastAsia="宋体" w:cs="宋体"/>
          <w:b/>
          <w:color w:val="auto"/>
          <w:sz w:val="24"/>
          <w:highlight w:val="none"/>
          <w:u w:val="single"/>
        </w:rPr>
        <w:t>（签字或盖章）（电子投标文件中须盖电子印章）</w:t>
      </w:r>
      <w:r>
        <w:rPr>
          <w:rFonts w:hint="eastAsia" w:ascii="宋体" w:hAnsi="宋体" w:eastAsia="宋体" w:cs="宋体"/>
          <w:b/>
          <w:color w:val="auto"/>
          <w:sz w:val="24"/>
          <w:highlight w:val="none"/>
          <w:u w:val="single"/>
        </w:rPr>
        <w:tab/>
      </w:r>
    </w:p>
    <w:p>
      <w:pPr>
        <w:pStyle w:val="2"/>
        <w:rPr>
          <w:rFonts w:hint="eastAsia" w:ascii="宋体" w:hAnsi="宋体" w:eastAsia="宋体" w:cs="宋体"/>
          <w:b/>
          <w:color w:val="auto"/>
          <w:sz w:val="20"/>
          <w:highlight w:val="none"/>
        </w:rPr>
      </w:pPr>
    </w:p>
    <w:p>
      <w:pPr>
        <w:pStyle w:val="2"/>
        <w:spacing w:before="8"/>
        <w:rPr>
          <w:rFonts w:hint="eastAsia" w:ascii="宋体" w:hAnsi="宋体" w:eastAsia="宋体" w:cs="宋体"/>
          <w:b/>
          <w:color w:val="auto"/>
          <w:sz w:val="12"/>
          <w:highlight w:val="none"/>
        </w:rPr>
      </w:pPr>
    </w:p>
    <w:p>
      <w:pPr>
        <w:tabs>
          <w:tab w:val="left" w:pos="482"/>
          <w:tab w:val="left" w:pos="1742"/>
          <w:tab w:val="left" w:pos="2707"/>
          <w:tab w:val="left" w:pos="3614"/>
        </w:tabs>
        <w:spacing w:line="432" w:lineRule="exact"/>
        <w:ind w:right="14"/>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日</w:t>
      </w:r>
      <w:r>
        <w:rPr>
          <w:rFonts w:hint="eastAsia" w:ascii="宋体" w:hAnsi="宋体" w:eastAsia="宋体" w:cs="宋体"/>
          <w:b/>
          <w:color w:val="auto"/>
          <w:sz w:val="24"/>
          <w:highlight w:val="none"/>
        </w:rPr>
        <w:tab/>
      </w:r>
      <w:r>
        <w:rPr>
          <w:rFonts w:hint="eastAsia" w:ascii="宋体" w:hAnsi="宋体" w:eastAsia="宋体" w:cs="宋体"/>
          <w:b/>
          <w:color w:val="auto"/>
          <w:sz w:val="24"/>
          <w:highlight w:val="none"/>
        </w:rPr>
        <w:t>期：</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rPr>
        <w:tab/>
      </w:r>
      <w:r>
        <w:rPr>
          <w:rFonts w:hint="eastAsia" w:ascii="宋体" w:hAnsi="宋体" w:eastAsia="宋体" w:cs="宋体"/>
          <w:b/>
          <w:color w:val="auto"/>
          <w:sz w:val="24"/>
          <w:highlight w:val="none"/>
        </w:rPr>
        <w:t>年</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rPr>
        <w:tab/>
      </w:r>
      <w:r>
        <w:rPr>
          <w:rFonts w:hint="eastAsia" w:ascii="宋体" w:hAnsi="宋体" w:eastAsia="宋体" w:cs="宋体"/>
          <w:b/>
          <w:color w:val="auto"/>
          <w:sz w:val="24"/>
          <w:highlight w:val="none"/>
        </w:rPr>
        <w:t>月</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rPr>
        <w:tab/>
      </w:r>
      <w:r>
        <w:rPr>
          <w:rFonts w:hint="eastAsia" w:ascii="宋体" w:hAnsi="宋体" w:eastAsia="宋体" w:cs="宋体"/>
          <w:b/>
          <w:color w:val="auto"/>
          <w:sz w:val="24"/>
          <w:highlight w:val="none"/>
        </w:rPr>
        <w:t>日</w:t>
      </w:r>
    </w:p>
    <w:p>
      <w:pPr>
        <w:spacing w:line="432" w:lineRule="exact"/>
        <w:jc w:val="center"/>
        <w:rPr>
          <w:rFonts w:hint="eastAsia" w:ascii="宋体" w:hAnsi="宋体" w:eastAsia="宋体" w:cs="宋体"/>
          <w:color w:val="auto"/>
          <w:sz w:val="24"/>
          <w:highlight w:val="none"/>
        </w:rPr>
        <w:sectPr>
          <w:footerReference r:id="rId7" w:type="default"/>
          <w:pgSz w:w="11905" w:h="16838"/>
          <w:pgMar w:top="1474" w:right="1474" w:bottom="1474" w:left="1474" w:header="799" w:footer="907" w:gutter="0"/>
          <w:pgNumType w:start="50"/>
          <w:cols w:space="0" w:num="1"/>
          <w:rtlGutter w:val="0"/>
          <w:docGrid w:linePitch="326" w:charSpace="0"/>
        </w:sectPr>
      </w:pPr>
    </w:p>
    <w:p>
      <w:pPr>
        <w:spacing w:line="475" w:lineRule="exact"/>
        <w:ind w:left="119" w:right="136"/>
        <w:jc w:val="center"/>
        <w:rPr>
          <w:rFonts w:hint="eastAsia" w:ascii="宋体" w:hAnsi="宋体" w:eastAsia="宋体" w:cs="宋体"/>
          <w:b/>
          <w:color w:val="auto"/>
          <w:sz w:val="28"/>
          <w:highlight w:val="none"/>
        </w:rPr>
      </w:pPr>
      <w:r>
        <w:rPr>
          <w:rFonts w:hint="eastAsia" w:ascii="宋体" w:hAnsi="宋体" w:eastAsia="宋体" w:cs="宋体"/>
          <w:b/>
          <w:color w:val="auto"/>
          <w:sz w:val="28"/>
          <w:highlight w:val="none"/>
        </w:rPr>
        <w:t>投 标 函</w:t>
      </w:r>
    </w:p>
    <w:p>
      <w:pPr>
        <w:pStyle w:val="2"/>
        <w:tabs>
          <w:tab w:val="left" w:pos="1061"/>
          <w:tab w:val="left" w:pos="2861"/>
        </w:tabs>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{招标人名称}</w:t>
      </w:r>
      <w:r>
        <w:rPr>
          <w:rFonts w:hint="eastAsia" w:ascii="宋体" w:hAnsi="宋体" w:eastAsia="宋体" w:cs="宋体"/>
          <w:color w:val="auto"/>
          <w:highlight w:val="none"/>
          <w:u w:val="single"/>
        </w:rPr>
        <w:tab/>
      </w:r>
    </w:p>
    <w:p>
      <w:pPr>
        <w:pStyle w:val="43"/>
        <w:tabs>
          <w:tab w:val="left" w:pos="946"/>
          <w:tab w:val="left" w:pos="2854"/>
          <w:tab w:val="left" w:pos="4294"/>
        </w:tabs>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sz w:val="24"/>
          <w:highlight w:val="none"/>
          <w:lang w:val="en-US"/>
        </w:rPr>
        <w:t>1、</w:t>
      </w:r>
      <w:r>
        <w:rPr>
          <w:rFonts w:hint="eastAsia" w:ascii="宋体" w:hAnsi="宋体" w:eastAsia="宋体" w:cs="宋体"/>
          <w:color w:val="auto"/>
          <w:sz w:val="24"/>
          <w:highlight w:val="none"/>
        </w:rPr>
        <w:t>根据你方招标工程项目编号为</w:t>
      </w:r>
      <w:r>
        <w:rPr>
          <w:rFonts w:hint="eastAsia" w:ascii="宋体" w:hAnsi="宋体" w:eastAsia="宋体" w:cs="宋体"/>
          <w:color w:val="auto"/>
          <w:sz w:val="24"/>
          <w:highlight w:val="none"/>
          <w:u w:val="single"/>
        </w:rPr>
        <w:t xml:space="preserve"> {项目编号}</w:t>
      </w:r>
      <w:r>
        <w:rPr>
          <w:rFonts w:hint="eastAsia" w:ascii="宋体" w:hAnsi="宋体" w:eastAsia="宋体" w:cs="宋体"/>
          <w:color w:val="auto"/>
          <w:sz w:val="24"/>
          <w:highlight w:val="none"/>
        </w:rPr>
        <w:t xml:space="preserve"> 的</w:t>
      </w:r>
      <w:r>
        <w:rPr>
          <w:rFonts w:hint="eastAsia" w:ascii="宋体" w:hAnsi="宋体" w:eastAsia="宋体" w:cs="宋体"/>
          <w:color w:val="auto"/>
          <w:sz w:val="24"/>
          <w:highlight w:val="none"/>
          <w:u w:val="single"/>
        </w:rPr>
        <w:t xml:space="preserve">  {招标工程项目名称} </w:t>
      </w:r>
      <w:r>
        <w:rPr>
          <w:rFonts w:hint="eastAsia" w:ascii="宋体" w:hAnsi="宋体" w:eastAsia="宋体" w:cs="宋体"/>
          <w:color w:val="auto"/>
          <w:sz w:val="24"/>
          <w:highlight w:val="none"/>
        </w:rPr>
        <w:t xml:space="preserve"> 工程招标文件，遵照《中华人民共和国招标投标法》等有关规定，经踏勘项目现场和研究上述招标文件的投标须知、合同条款、图纸</w:t>
      </w:r>
      <w:r>
        <w:rPr>
          <w:rFonts w:hint="eastAsia" w:cs="宋体"/>
          <w:color w:val="auto"/>
          <w:sz w:val="24"/>
          <w:highlight w:val="none"/>
          <w:lang w:eastAsia="zh-CN"/>
        </w:rPr>
        <w:t>、技术标准和要求、</w:t>
      </w:r>
      <w:r>
        <w:rPr>
          <w:rFonts w:hint="eastAsia" w:ascii="宋体" w:hAnsi="宋体" w:eastAsia="宋体" w:cs="宋体"/>
          <w:color w:val="auto"/>
          <w:sz w:val="24"/>
          <w:highlight w:val="none"/>
        </w:rPr>
        <w:t>工程建设标准和工程量清单及其他有关文件后，我方愿以人民币（大写）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rPr>
        <w:t xml:space="preserve">         </w:t>
      </w:r>
      <w:r>
        <w:rPr>
          <w:rFonts w:hint="eastAsia" w:ascii="宋体" w:hAnsi="宋体" w:eastAsia="宋体" w:cs="宋体"/>
          <w:color w:val="auto"/>
          <w:sz w:val="24"/>
          <w:highlight w:val="none"/>
        </w:rPr>
        <w:t>（小写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lang w:val="en-US"/>
        </w:rPr>
        <w:t xml:space="preserve"> </w:t>
      </w:r>
      <w:r>
        <w:rPr>
          <w:rFonts w:hint="eastAsia" w:ascii="宋体" w:hAnsi="宋体" w:eastAsia="宋体" w:cs="宋体"/>
          <w:color w:val="auto"/>
          <w:sz w:val="24"/>
          <w:highlight w:val="none"/>
        </w:rPr>
        <w:t>元）的投标报价并按上述图纸、合同条款和工程建设标准的条件要求承担上述工程的施工、竣工，并承担任何质量缺陷保修责任。</w:t>
      </w:r>
    </w:p>
    <w:p>
      <w:pPr>
        <w:pStyle w:val="43"/>
        <w:tabs>
          <w:tab w:val="left" w:pos="889"/>
          <w:tab w:val="left" w:pos="1421"/>
          <w:tab w:val="left" w:pos="4597"/>
          <w:tab w:val="left" w:pos="5917"/>
        </w:tabs>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sz w:val="24"/>
          <w:highlight w:val="none"/>
          <w:lang w:val="en-US"/>
        </w:rPr>
        <w:t>2、</w:t>
      </w:r>
      <w:r>
        <w:rPr>
          <w:rFonts w:hint="eastAsia" w:ascii="宋体" w:hAnsi="宋体" w:eastAsia="宋体" w:cs="宋体"/>
          <w:color w:val="auto"/>
          <w:sz w:val="24"/>
          <w:highlight w:val="none"/>
        </w:rPr>
        <w:t>我方已详细阅读和确认全部招标文件及有关附件。如我方中标，我方拟派项目经理为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rPr>
        <w:t>，其项目经理资质为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w:t>
      </w:r>
    </w:p>
    <w:p>
      <w:pPr>
        <w:pStyle w:val="43"/>
        <w:tabs>
          <w:tab w:val="left" w:pos="883"/>
        </w:tabs>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lang w:val="en-US"/>
        </w:rPr>
        <w:t>3、</w:t>
      </w:r>
      <w:r>
        <w:rPr>
          <w:rFonts w:hint="eastAsia" w:ascii="宋体" w:hAnsi="宋体" w:eastAsia="宋体" w:cs="宋体"/>
          <w:color w:val="auto"/>
          <w:sz w:val="24"/>
          <w:highlight w:val="none"/>
        </w:rPr>
        <w:t>我方承认附录是我方投标函的组成部分。</w:t>
      </w:r>
    </w:p>
    <w:p>
      <w:pPr>
        <w:pStyle w:val="43"/>
        <w:tabs>
          <w:tab w:val="left" w:pos="884"/>
        </w:tabs>
        <w:spacing w:line="360" w:lineRule="auto"/>
        <w:ind w:left="0" w:firstLine="480" w:firstLineChars="200"/>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lang w:val="en-US"/>
        </w:rPr>
        <w:t>4、一旦我方中标，我方保证按</w:t>
      </w:r>
      <w:r>
        <w:rPr>
          <w:rFonts w:hint="eastAsia" w:ascii="宋体" w:hAnsi="宋体" w:eastAsia="宋体" w:cs="宋体"/>
          <w:color w:val="auto"/>
          <w:sz w:val="24"/>
          <w:highlight w:val="none"/>
          <w:u w:val="single"/>
          <w:lang w:val="en-US"/>
        </w:rPr>
        <w:tab/>
      </w:r>
      <w:r>
        <w:rPr>
          <w:rFonts w:hint="eastAsia" w:ascii="宋体" w:hAnsi="宋体" w:eastAsia="宋体" w:cs="宋体"/>
          <w:color w:val="auto"/>
          <w:sz w:val="24"/>
          <w:highlight w:val="none"/>
          <w:lang w:val="en-US"/>
        </w:rPr>
        <w:t>日历天的工期和招标文件或业主开工令的要求如期开工、竣工并移交整个工程。在施工过程中如发现转包、违法分包行为，我方将承担一切后果和经济责任。如填写错误不符合招标文件的要求，自愿做废标处理。</w:t>
      </w:r>
    </w:p>
    <w:p>
      <w:pPr>
        <w:pStyle w:val="43"/>
        <w:tabs>
          <w:tab w:val="left" w:pos="883"/>
          <w:tab w:val="left" w:pos="7602"/>
        </w:tabs>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lang w:val="en-US"/>
        </w:rPr>
        <w:t>5、</w:t>
      </w:r>
      <w:r>
        <w:rPr>
          <w:rFonts w:hint="eastAsia" w:ascii="宋体" w:hAnsi="宋体" w:eastAsia="宋体" w:cs="宋体"/>
          <w:color w:val="auto"/>
          <w:sz w:val="24"/>
          <w:highlight w:val="none"/>
        </w:rPr>
        <w:t>一旦我方中标，我方保证工程质量达到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rPr>
        <w:t xml:space="preserve">        </w:t>
      </w:r>
      <w:r>
        <w:rPr>
          <w:rFonts w:hint="eastAsia" w:ascii="宋体" w:hAnsi="宋体" w:eastAsia="宋体" w:cs="宋体"/>
          <w:color w:val="auto"/>
          <w:sz w:val="24"/>
          <w:highlight w:val="none"/>
        </w:rPr>
        <w:t>标准。</w:t>
      </w:r>
    </w:p>
    <w:p>
      <w:pPr>
        <w:pStyle w:val="43"/>
        <w:tabs>
          <w:tab w:val="left" w:pos="884"/>
        </w:tabs>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lang w:val="en-US"/>
        </w:rPr>
        <w:t>6、</w:t>
      </w:r>
      <w:r>
        <w:rPr>
          <w:rFonts w:hint="eastAsia" w:ascii="宋体" w:hAnsi="宋体" w:eastAsia="宋体" w:cs="宋体"/>
          <w:color w:val="auto"/>
          <w:sz w:val="24"/>
          <w:highlight w:val="none"/>
        </w:rPr>
        <w:t>一旦我方中标，我方保证投标文件中承诺的项目管理班子及施工机械设备到位，并按投标文件中的施工组织设计组织施工。</w:t>
      </w:r>
    </w:p>
    <w:p>
      <w:pPr>
        <w:pStyle w:val="43"/>
        <w:tabs>
          <w:tab w:val="left" w:pos="884"/>
        </w:tabs>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lang w:val="en-US"/>
        </w:rPr>
        <w:t>7、</w:t>
      </w:r>
      <w:r>
        <w:rPr>
          <w:rFonts w:hint="eastAsia" w:ascii="宋体" w:hAnsi="宋体" w:eastAsia="宋体" w:cs="宋体"/>
          <w:color w:val="auto"/>
          <w:sz w:val="24"/>
          <w:highlight w:val="none"/>
        </w:rPr>
        <w:t>一旦我方中标，我方保证用于本工程的主要材料、设备，不低于招标文件规定和投标文件承诺的合格产品，并在使用之前经建设单位确认后使用。</w:t>
      </w:r>
    </w:p>
    <w:p>
      <w:pPr>
        <w:pStyle w:val="43"/>
        <w:tabs>
          <w:tab w:val="left" w:pos="884"/>
        </w:tabs>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lang w:val="en-US"/>
        </w:rPr>
        <w:t>8、</w:t>
      </w:r>
      <w:r>
        <w:rPr>
          <w:rFonts w:hint="eastAsia" w:ascii="宋体" w:hAnsi="宋体" w:eastAsia="宋体" w:cs="宋体"/>
          <w:color w:val="auto"/>
          <w:sz w:val="24"/>
          <w:highlight w:val="none"/>
        </w:rPr>
        <w:t>一旦我方中标，我方保证在规定的时间内由我方法定代表人亲自签订合同以及及时进场施工，并认真履行合同和其它各项承诺。</w:t>
      </w:r>
    </w:p>
    <w:p>
      <w:pPr>
        <w:pStyle w:val="43"/>
        <w:tabs>
          <w:tab w:val="left" w:pos="884"/>
        </w:tabs>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lang w:val="en-US"/>
        </w:rPr>
        <w:t>9、</w:t>
      </w:r>
      <w:r>
        <w:rPr>
          <w:rFonts w:hint="eastAsia" w:ascii="宋体" w:hAnsi="宋体" w:eastAsia="宋体" w:cs="宋体"/>
          <w:color w:val="auto"/>
          <w:sz w:val="24"/>
          <w:highlight w:val="none"/>
        </w:rPr>
        <w:t>一旦我方中标，我方保证在规定的时间内按招标文件规定的方式、金额向招标人提交履约担保。</w:t>
      </w:r>
    </w:p>
    <w:p>
      <w:pPr>
        <w:pStyle w:val="43"/>
        <w:tabs>
          <w:tab w:val="left" w:pos="1003"/>
        </w:tabs>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lang w:val="en-US"/>
        </w:rPr>
        <w:t>10、</w:t>
      </w:r>
      <w:r>
        <w:rPr>
          <w:rFonts w:hint="eastAsia" w:ascii="宋体" w:hAnsi="宋体" w:eastAsia="宋体" w:cs="宋体"/>
          <w:color w:val="auto"/>
          <w:sz w:val="24"/>
          <w:highlight w:val="none"/>
        </w:rPr>
        <w:t>我方同意所提交的投标文件在招标文件的投标须知中规定的投标有效期内有效，在此期间内如果中标，我方将受此约束。</w:t>
      </w:r>
    </w:p>
    <w:p>
      <w:pPr>
        <w:pStyle w:val="43"/>
        <w:tabs>
          <w:tab w:val="left" w:pos="1003"/>
        </w:tabs>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lang w:val="en-US"/>
        </w:rPr>
        <w:t>11；</w:t>
      </w:r>
      <w:r>
        <w:rPr>
          <w:rFonts w:hint="eastAsia" w:ascii="宋体" w:hAnsi="宋体" w:eastAsia="宋体" w:cs="宋体"/>
          <w:color w:val="auto"/>
          <w:sz w:val="24"/>
          <w:highlight w:val="none"/>
        </w:rPr>
        <w:t>除非另外达成协议并生效，你方的中标通知书和本投标文件以及招标文件、招标文件澄清、修改通知、补充文件将成为约束双方的合同文件的组成部分。</w:t>
      </w:r>
    </w:p>
    <w:p>
      <w:pPr>
        <w:pStyle w:val="43"/>
        <w:tabs>
          <w:tab w:val="left" w:pos="1003"/>
          <w:tab w:val="left" w:pos="6042"/>
        </w:tabs>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lang w:val="en-US"/>
        </w:rPr>
        <w:t>12、</w:t>
      </w:r>
      <w:r>
        <w:rPr>
          <w:rFonts w:hint="eastAsia" w:ascii="宋体" w:hAnsi="宋体" w:eastAsia="宋体" w:cs="宋体"/>
          <w:color w:val="auto"/>
          <w:sz w:val="24"/>
          <w:highlight w:val="none"/>
        </w:rPr>
        <w:t>我方将与本投标函一起，提交人民币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rPr>
        <w:t>元作为投标保证金。</w:t>
      </w:r>
    </w:p>
    <w:p>
      <w:pPr>
        <w:pStyle w:val="43"/>
        <w:tabs>
          <w:tab w:val="left" w:pos="1003"/>
          <w:tab w:val="left" w:pos="6042"/>
        </w:tabs>
        <w:spacing w:line="360" w:lineRule="auto"/>
        <w:ind w:left="0" w:firstLine="480" w:firstLineChars="200"/>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lang w:val="en-US"/>
        </w:rPr>
        <w:t>13、如我方中标，我方将按照规定提交上述合同价款（不含暂定价和甲供材）</w:t>
      </w:r>
      <w:r>
        <w:rPr>
          <w:rFonts w:hint="eastAsia" w:ascii="宋体" w:hAnsi="宋体" w:eastAsia="宋体" w:cs="宋体"/>
          <w:color w:val="auto"/>
          <w:sz w:val="24"/>
          <w:highlight w:val="none"/>
          <w:u w:val="single"/>
          <w:lang w:val="en-US"/>
        </w:rPr>
        <w:t xml:space="preserve"> </w:t>
      </w:r>
      <w:r>
        <w:rPr>
          <w:rFonts w:hint="eastAsia" w:ascii="宋体" w:hAnsi="宋体" w:eastAsia="宋体" w:cs="宋体"/>
          <w:color w:val="auto"/>
          <w:sz w:val="24"/>
          <w:highlight w:val="none"/>
          <w:u w:val="single"/>
          <w:lang w:val="en-US"/>
        </w:rPr>
        <w:tab/>
      </w:r>
      <w:r>
        <w:rPr>
          <w:rFonts w:hint="eastAsia" w:ascii="宋体" w:hAnsi="宋体" w:eastAsia="宋体" w:cs="宋体"/>
          <w:color w:val="auto"/>
          <w:sz w:val="24"/>
          <w:highlight w:val="none"/>
          <w:lang w:val="en-US"/>
        </w:rPr>
        <w:t>%作为履约保证金。</w:t>
      </w:r>
    </w:p>
    <w:p>
      <w:pPr>
        <w:pStyle w:val="43"/>
        <w:tabs>
          <w:tab w:val="left" w:pos="1003"/>
        </w:tabs>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lang w:val="en-US"/>
        </w:rPr>
        <w:t>14、</w:t>
      </w:r>
      <w:r>
        <w:rPr>
          <w:rFonts w:hint="eastAsia" w:ascii="宋体" w:hAnsi="宋体" w:eastAsia="宋体" w:cs="宋体"/>
          <w:color w:val="auto"/>
          <w:sz w:val="24"/>
          <w:highlight w:val="none"/>
        </w:rPr>
        <w:t>招标文件、投标文件及中标通知书将成为约束双方的合同文件的组成部分。</w:t>
      </w:r>
    </w:p>
    <w:p>
      <w:pPr>
        <w:pStyle w:val="43"/>
        <w:tabs>
          <w:tab w:val="left" w:pos="1003"/>
        </w:tabs>
        <w:spacing w:line="360" w:lineRule="auto"/>
        <w:ind w:left="0" w:firstLine="480" w:firstLineChars="200"/>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lang w:val="en-US"/>
        </w:rPr>
        <w:t>15、我方承诺：我方拟派项目经理符合投标须知前附表的规定，否则接受招投标行政监管管理部门依法进行的处罚。</w:t>
      </w:r>
    </w:p>
    <w:p>
      <w:pPr>
        <w:pStyle w:val="43"/>
        <w:tabs>
          <w:tab w:val="left" w:pos="1003"/>
          <w:tab w:val="left" w:pos="4241"/>
          <w:tab w:val="left" w:pos="7002"/>
        </w:tabs>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lang w:val="en-US"/>
        </w:rPr>
        <w:t>16、</w:t>
      </w:r>
      <w:r>
        <w:rPr>
          <w:rFonts w:hint="eastAsia" w:ascii="宋体" w:hAnsi="宋体" w:eastAsia="宋体" w:cs="宋体"/>
          <w:color w:val="auto"/>
          <w:sz w:val="24"/>
          <w:highlight w:val="none"/>
        </w:rPr>
        <w:t>其他补充说明：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{补充说明事项}</w:t>
      </w:r>
      <w:r>
        <w:rPr>
          <w:rFonts w:hint="eastAsia" w:ascii="宋体" w:hAnsi="宋体" w:eastAsia="宋体" w:cs="宋体"/>
          <w:color w:val="auto"/>
          <w:sz w:val="24"/>
          <w:highlight w:val="none"/>
          <w:u w:val="single"/>
        </w:rPr>
        <w:tab/>
      </w:r>
    </w:p>
    <w:p>
      <w:pPr>
        <w:pStyle w:val="2"/>
        <w:spacing w:line="360" w:lineRule="auto"/>
        <w:ind w:firstLine="400" w:firstLineChars="200"/>
        <w:rPr>
          <w:rFonts w:hint="eastAsia" w:ascii="宋体" w:hAnsi="宋体" w:eastAsia="宋体" w:cs="宋体"/>
          <w:color w:val="auto"/>
          <w:sz w:val="20"/>
          <w:highlight w:val="none"/>
        </w:rPr>
      </w:pPr>
    </w:p>
    <w:p>
      <w:pPr>
        <w:pStyle w:val="2"/>
        <w:tabs>
          <w:tab w:val="left" w:pos="2141"/>
          <w:tab w:val="left" w:pos="2981"/>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投标人名称：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（签字或盖章）（电子投标文件中须盖电子印章）</w:t>
      </w:r>
      <w:r>
        <w:rPr>
          <w:rFonts w:hint="eastAsia" w:ascii="宋体" w:hAnsi="宋体" w:eastAsia="宋体" w:cs="宋体"/>
          <w:color w:val="auto"/>
          <w:highlight w:val="none"/>
          <w:u w:val="single"/>
        </w:rPr>
        <w:tab/>
      </w:r>
    </w:p>
    <w:p>
      <w:pPr>
        <w:pStyle w:val="2"/>
        <w:tabs>
          <w:tab w:val="left" w:pos="7777"/>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单位地址：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p>
    <w:p>
      <w:pPr>
        <w:pStyle w:val="2"/>
        <w:tabs>
          <w:tab w:val="left" w:pos="3821"/>
          <w:tab w:val="left" w:pos="9343"/>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（签字或盖章）（电子投标文件中须盖电子印章）</w:t>
      </w:r>
      <w:r>
        <w:rPr>
          <w:rFonts w:hint="eastAsia" w:ascii="宋体" w:hAnsi="宋体" w:eastAsia="宋体" w:cs="宋体"/>
          <w:color w:val="auto"/>
          <w:highlight w:val="none"/>
          <w:u w:val="single"/>
        </w:rPr>
        <w:tab/>
      </w:r>
    </w:p>
    <w:p>
      <w:pPr>
        <w:pStyle w:val="2"/>
        <w:tabs>
          <w:tab w:val="left" w:pos="1901"/>
          <w:tab w:val="left" w:pos="3216"/>
          <w:tab w:val="left" w:pos="6937"/>
        </w:tabs>
        <w:spacing w:line="360" w:lineRule="auto"/>
        <w:ind w:firstLine="480" w:firstLineChars="200"/>
        <w:rPr>
          <w:rFonts w:hint="eastAsia" w:ascii="宋体" w:hAnsi="宋体" w:eastAsia="宋体" w:cs="宋体"/>
          <w:color w:val="auto"/>
          <w:highlight w:val="none"/>
          <w:lang w:val="en-US"/>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rPr>
        <w:t xml:space="preserve">          </w:t>
      </w:r>
      <w:r>
        <w:rPr>
          <w:rFonts w:hint="eastAsia" w:ascii="宋体" w:hAnsi="宋体" w:eastAsia="宋体" w:cs="宋体"/>
          <w:color w:val="auto"/>
          <w:highlight w:val="none"/>
        </w:rPr>
        <w:t>传真：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lang w:val="en-US"/>
        </w:rPr>
        <w:t xml:space="preserve">  </w:t>
      </w:r>
    </w:p>
    <w:p>
      <w:pPr>
        <w:pStyle w:val="2"/>
        <w:tabs>
          <w:tab w:val="left" w:pos="4421"/>
          <w:tab w:val="left" w:pos="8857"/>
        </w:tabs>
        <w:spacing w:line="360" w:lineRule="auto"/>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开户银行名称：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p>
    <w:p>
      <w:pPr>
        <w:pStyle w:val="2"/>
        <w:tabs>
          <w:tab w:val="left" w:pos="4421"/>
          <w:tab w:val="left" w:pos="8857"/>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开户银行账号：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p>
    <w:p>
      <w:pPr>
        <w:pStyle w:val="2"/>
        <w:tabs>
          <w:tab w:val="left" w:pos="1781"/>
          <w:tab w:val="left" w:pos="2741"/>
          <w:tab w:val="left" w:pos="3701"/>
        </w:tabs>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pPr>
        <w:pStyle w:val="2"/>
        <w:tabs>
          <w:tab w:val="left" w:pos="1781"/>
          <w:tab w:val="left" w:pos="2741"/>
          <w:tab w:val="left" w:pos="3701"/>
        </w:tabs>
        <w:spacing w:before="67"/>
        <w:ind w:left="221"/>
        <w:rPr>
          <w:rFonts w:hint="eastAsia" w:ascii="宋体" w:hAnsi="宋体" w:eastAsia="宋体" w:cs="宋体"/>
          <w:color w:val="auto"/>
          <w:highlight w:val="none"/>
        </w:rPr>
      </w:pPr>
    </w:p>
    <w:p>
      <w:pPr>
        <w:rPr>
          <w:rFonts w:hint="eastAsia" w:ascii="宋体" w:hAnsi="宋体" w:eastAsia="宋体" w:cs="宋体"/>
          <w:color w:val="auto"/>
          <w:highlight w:val="none"/>
        </w:rPr>
        <w:sectPr>
          <w:pgSz w:w="11905" w:h="16838"/>
          <w:pgMar w:top="1474" w:right="1474" w:bottom="1474" w:left="1474" w:header="799" w:footer="907" w:gutter="0"/>
          <w:cols w:space="0" w:num="1"/>
          <w:rtlGutter w:val="0"/>
          <w:docGrid w:linePitch="326" w:charSpace="0"/>
        </w:sectPr>
      </w:pPr>
    </w:p>
    <w:p>
      <w:pPr>
        <w:pStyle w:val="6"/>
        <w:spacing w:line="475" w:lineRule="exact"/>
        <w:ind w:left="122" w:right="136"/>
        <w:rPr>
          <w:rFonts w:hint="eastAsia" w:ascii="宋体" w:hAnsi="宋体" w:eastAsia="宋体" w:cs="宋体"/>
          <w:color w:val="auto"/>
          <w:highlight w:val="none"/>
        </w:rPr>
      </w:pPr>
      <w:r>
        <w:rPr>
          <w:rFonts w:hint="eastAsia" w:ascii="宋体" w:hAnsi="宋体" w:eastAsia="宋体" w:cs="宋体"/>
          <w:color w:val="auto"/>
          <w:highlight w:val="none"/>
        </w:rPr>
        <w:t>附录</w:t>
      </w:r>
    </w:p>
    <w:p>
      <w:pPr>
        <w:pStyle w:val="2"/>
        <w:spacing w:before="2"/>
        <w:rPr>
          <w:rFonts w:hint="eastAsia" w:ascii="宋体" w:hAnsi="宋体" w:eastAsia="宋体" w:cs="宋体"/>
          <w:b/>
          <w:color w:val="auto"/>
          <w:sz w:val="9"/>
          <w:highlight w:val="none"/>
        </w:rPr>
      </w:pPr>
    </w:p>
    <w:tbl>
      <w:tblPr>
        <w:tblStyle w:val="24"/>
        <w:tblW w:w="9483" w:type="dxa"/>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1"/>
        <w:gridCol w:w="2417"/>
        <w:gridCol w:w="1164"/>
        <w:gridCol w:w="51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751" w:type="dxa"/>
          </w:tcPr>
          <w:p>
            <w:pPr>
              <w:pStyle w:val="44"/>
              <w:spacing w:before="15"/>
              <w:rPr>
                <w:rFonts w:hint="eastAsia" w:ascii="宋体" w:hAnsi="宋体" w:eastAsia="宋体" w:cs="宋体"/>
                <w:b/>
                <w:color w:val="auto"/>
                <w:sz w:val="11"/>
                <w:highlight w:val="none"/>
              </w:rPr>
            </w:pPr>
          </w:p>
          <w:p>
            <w:pPr>
              <w:pStyle w:val="44"/>
              <w:ind w:left="134"/>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417" w:type="dxa"/>
          </w:tcPr>
          <w:p>
            <w:pPr>
              <w:pStyle w:val="44"/>
              <w:spacing w:before="15"/>
              <w:rPr>
                <w:rFonts w:hint="eastAsia" w:ascii="宋体" w:hAnsi="宋体" w:eastAsia="宋体" w:cs="宋体"/>
                <w:b/>
                <w:color w:val="auto"/>
                <w:sz w:val="11"/>
                <w:highlight w:val="none"/>
              </w:rPr>
            </w:pPr>
          </w:p>
          <w:p>
            <w:pPr>
              <w:pStyle w:val="44"/>
              <w:ind w:left="547"/>
              <w:rPr>
                <w:rFonts w:hint="eastAsia" w:ascii="宋体" w:hAnsi="宋体" w:eastAsia="宋体" w:cs="宋体"/>
                <w:color w:val="auto"/>
                <w:sz w:val="24"/>
                <w:highlight w:val="none"/>
              </w:rPr>
            </w:pPr>
            <w:r>
              <w:rPr>
                <w:rFonts w:hint="eastAsia" w:ascii="宋体" w:hAnsi="宋体" w:eastAsia="宋体" w:cs="宋体"/>
                <w:color w:val="auto"/>
                <w:sz w:val="24"/>
                <w:highlight w:val="none"/>
              </w:rPr>
              <w:t>项 目 内 容</w:t>
            </w:r>
          </w:p>
        </w:tc>
        <w:tc>
          <w:tcPr>
            <w:tcW w:w="1164" w:type="dxa"/>
          </w:tcPr>
          <w:p>
            <w:pPr>
              <w:pStyle w:val="44"/>
              <w:tabs>
                <w:tab w:val="left" w:pos="701"/>
              </w:tabs>
              <w:spacing w:before="9" w:line="360" w:lineRule="atLeast"/>
              <w:ind w:left="221" w:right="210"/>
              <w:rPr>
                <w:rFonts w:hint="eastAsia" w:ascii="宋体" w:hAnsi="宋体" w:eastAsia="宋体" w:cs="宋体"/>
                <w:color w:val="auto"/>
                <w:sz w:val="24"/>
                <w:highlight w:val="none"/>
              </w:rPr>
            </w:pPr>
            <w:r>
              <w:rPr>
                <w:rFonts w:hint="eastAsia" w:ascii="宋体" w:hAnsi="宋体" w:eastAsia="宋体" w:cs="宋体"/>
                <w:color w:val="auto"/>
                <w:sz w:val="24"/>
                <w:highlight w:val="none"/>
              </w:rPr>
              <w:t>合</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同条款号</w:t>
            </w:r>
          </w:p>
        </w:tc>
        <w:tc>
          <w:tcPr>
            <w:tcW w:w="5151" w:type="dxa"/>
          </w:tcPr>
          <w:p>
            <w:pPr>
              <w:pStyle w:val="44"/>
              <w:spacing w:before="15"/>
              <w:rPr>
                <w:rFonts w:hint="eastAsia" w:ascii="宋体" w:hAnsi="宋体" w:eastAsia="宋体" w:cs="宋体"/>
                <w:b/>
                <w:color w:val="auto"/>
                <w:sz w:val="11"/>
                <w:highlight w:val="none"/>
              </w:rPr>
            </w:pPr>
          </w:p>
          <w:p>
            <w:pPr>
              <w:pStyle w:val="44"/>
              <w:ind w:left="1742" w:right="1734"/>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约 定 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7" w:hRule="atLeast"/>
        </w:trPr>
        <w:tc>
          <w:tcPr>
            <w:tcW w:w="751" w:type="dxa"/>
            <w:vAlign w:val="center"/>
          </w:tcPr>
          <w:p>
            <w:pPr>
              <w:pStyle w:val="44"/>
              <w:jc w:val="center"/>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lang w:val="en-US"/>
              </w:rPr>
              <w:t>1</w:t>
            </w:r>
          </w:p>
        </w:tc>
        <w:tc>
          <w:tcPr>
            <w:tcW w:w="2417" w:type="dxa"/>
            <w:vAlign w:val="center"/>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履约保证金</w:t>
            </w:r>
          </w:p>
        </w:tc>
        <w:tc>
          <w:tcPr>
            <w:tcW w:w="1164" w:type="dxa"/>
            <w:vAlign w:val="center"/>
          </w:tcPr>
          <w:p>
            <w:pPr>
              <w:pStyle w:val="44"/>
              <w:spacing w:before="12"/>
              <w:rPr>
                <w:rFonts w:hint="eastAsia" w:ascii="宋体" w:hAnsi="宋体" w:eastAsia="宋体" w:cs="宋体"/>
                <w:b/>
                <w:color w:val="auto"/>
                <w:sz w:val="15"/>
                <w:highlight w:val="none"/>
              </w:rPr>
            </w:pPr>
          </w:p>
          <w:p>
            <w:pPr>
              <w:pStyle w:val="44"/>
              <w:spacing w:before="1"/>
              <w:ind w:left="547"/>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5151" w:type="dxa"/>
            <w:vAlign w:val="center"/>
          </w:tcPr>
          <w:p>
            <w:pPr>
              <w:pStyle w:val="44"/>
              <w:ind w:left="106"/>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按合同价款的 </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751" w:type="dxa"/>
          </w:tcPr>
          <w:p>
            <w:pPr>
              <w:pStyle w:val="44"/>
              <w:spacing w:before="148"/>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417"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施工准备时间</w:t>
            </w:r>
          </w:p>
        </w:tc>
        <w:tc>
          <w:tcPr>
            <w:tcW w:w="1164" w:type="dxa"/>
          </w:tcPr>
          <w:p>
            <w:pPr>
              <w:pStyle w:val="44"/>
              <w:spacing w:before="157"/>
              <w:ind w:left="547"/>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5151" w:type="dxa"/>
          </w:tcPr>
          <w:p>
            <w:pPr>
              <w:pStyle w:val="44"/>
              <w:spacing w:before="148"/>
              <w:ind w:left="106"/>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签订合同后 </w:t>
            </w:r>
            <w:r>
              <w:rPr>
                <w:rFonts w:hint="eastAsia" w:ascii="宋体" w:hAnsi="宋体" w:eastAsia="宋体" w:cs="宋体"/>
                <w:color w:val="auto"/>
                <w:sz w:val="24"/>
                <w:highlight w:val="none"/>
                <w:u w:val="single"/>
              </w:rPr>
              <w:t xml:space="preserve">5 </w:t>
            </w:r>
            <w:r>
              <w:rPr>
                <w:rFonts w:hint="eastAsia" w:ascii="宋体" w:hAnsi="宋体" w:eastAsia="宋体" w:cs="宋体"/>
                <w:color w:val="auto"/>
                <w:sz w:val="24"/>
                <w:highlight w:val="none"/>
              </w:rPr>
              <w:t>天内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trPr>
        <w:tc>
          <w:tcPr>
            <w:tcW w:w="751"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417"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误期违约金额</w:t>
            </w:r>
          </w:p>
        </w:tc>
        <w:tc>
          <w:tcPr>
            <w:tcW w:w="1164" w:type="dxa"/>
          </w:tcPr>
          <w:p>
            <w:pPr>
              <w:pStyle w:val="44"/>
              <w:spacing w:before="227"/>
              <w:ind w:left="547"/>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5151" w:type="dxa"/>
          </w:tcPr>
          <w:p>
            <w:pPr>
              <w:pStyle w:val="44"/>
              <w:spacing w:before="7" w:line="360" w:lineRule="atLeast"/>
              <w:ind w:left="106" w:right="98"/>
              <w:rPr>
                <w:rFonts w:hint="eastAsia" w:ascii="宋体" w:hAnsi="宋体" w:eastAsia="宋体" w:cs="宋体"/>
                <w:color w:val="auto"/>
                <w:sz w:val="24"/>
                <w:highlight w:val="none"/>
              </w:rPr>
            </w:pPr>
            <w:r>
              <w:rPr>
                <w:rFonts w:hint="eastAsia" w:ascii="宋体" w:hAnsi="宋体" w:eastAsia="宋体" w:cs="宋体"/>
                <w:color w:val="auto"/>
                <w:sz w:val="24"/>
                <w:highlight w:val="none"/>
              </w:rPr>
              <w:t>详见上篇第六章合同专用条款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751"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2417"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误期赔偿费</w:t>
            </w:r>
          </w:p>
        </w:tc>
        <w:tc>
          <w:tcPr>
            <w:tcW w:w="1164" w:type="dxa"/>
          </w:tcPr>
          <w:p>
            <w:pPr>
              <w:pStyle w:val="44"/>
              <w:spacing w:before="177"/>
              <w:ind w:left="547"/>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5151" w:type="dxa"/>
          </w:tcPr>
          <w:p>
            <w:pPr>
              <w:pStyle w:val="44"/>
              <w:spacing w:before="208"/>
              <w:ind w:left="106"/>
              <w:rPr>
                <w:rFonts w:hint="eastAsia" w:ascii="宋体" w:hAnsi="宋体" w:eastAsia="宋体" w:cs="宋体"/>
                <w:color w:val="auto"/>
                <w:sz w:val="24"/>
                <w:highlight w:val="none"/>
              </w:rPr>
            </w:pPr>
            <w:r>
              <w:rPr>
                <w:rFonts w:hint="eastAsia" w:ascii="宋体" w:hAnsi="宋体" w:eastAsia="宋体" w:cs="宋体"/>
                <w:color w:val="auto"/>
                <w:sz w:val="24"/>
                <w:highlight w:val="none"/>
              </w:rPr>
              <w:t>见上篇第六章合同专用条款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751"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2417"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提前工期奖</w:t>
            </w:r>
          </w:p>
        </w:tc>
        <w:tc>
          <w:tcPr>
            <w:tcW w:w="1164" w:type="dxa"/>
          </w:tcPr>
          <w:p>
            <w:pPr>
              <w:pStyle w:val="44"/>
              <w:spacing w:before="215"/>
              <w:ind w:left="547"/>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5151" w:type="dxa"/>
          </w:tcPr>
          <w:p>
            <w:pPr>
              <w:pStyle w:val="44"/>
              <w:spacing w:before="50" w:line="242" w:lineRule="auto"/>
              <w:ind w:left="106" w:right="98"/>
              <w:rPr>
                <w:rFonts w:hint="eastAsia" w:ascii="宋体" w:hAnsi="宋体" w:eastAsia="宋体" w:cs="宋体"/>
                <w:color w:val="auto"/>
                <w:sz w:val="24"/>
                <w:highlight w:val="none"/>
              </w:rPr>
            </w:pPr>
            <w:r>
              <w:rPr>
                <w:rFonts w:hint="eastAsia" w:ascii="宋体" w:hAnsi="宋体" w:eastAsia="宋体" w:cs="宋体"/>
                <w:color w:val="auto"/>
                <w:sz w:val="24"/>
                <w:highlight w:val="none"/>
              </w:rPr>
              <w:t>见上篇第六章合同专用条款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751"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2417"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施工（服务）总工期</w:t>
            </w:r>
          </w:p>
        </w:tc>
        <w:tc>
          <w:tcPr>
            <w:tcW w:w="1164" w:type="dxa"/>
          </w:tcPr>
          <w:p>
            <w:pPr>
              <w:pStyle w:val="44"/>
              <w:spacing w:before="205"/>
              <w:ind w:left="547"/>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5151" w:type="dxa"/>
          </w:tcPr>
          <w:p>
            <w:pPr>
              <w:pStyle w:val="44"/>
              <w:spacing w:before="196"/>
              <w:ind w:left="106"/>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日历天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751"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2417"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质量标准</w:t>
            </w:r>
          </w:p>
        </w:tc>
        <w:tc>
          <w:tcPr>
            <w:tcW w:w="1164" w:type="dxa"/>
          </w:tcPr>
          <w:p>
            <w:pPr>
              <w:pStyle w:val="44"/>
              <w:spacing w:before="193"/>
              <w:ind w:left="547"/>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5151" w:type="dxa"/>
          </w:tcPr>
          <w:p>
            <w:pPr>
              <w:pStyle w:val="44"/>
              <w:rPr>
                <w:rFonts w:hint="eastAsia" w:ascii="宋体" w:hAnsi="宋体" w:eastAsia="宋体" w:cs="宋体"/>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751"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2417"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投标总价</w:t>
            </w:r>
          </w:p>
        </w:tc>
        <w:tc>
          <w:tcPr>
            <w:tcW w:w="1164" w:type="dxa"/>
          </w:tcPr>
          <w:p>
            <w:pPr>
              <w:pStyle w:val="44"/>
              <w:spacing w:before="207"/>
              <w:ind w:left="547"/>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5151" w:type="dxa"/>
          </w:tcPr>
          <w:p>
            <w:pPr>
              <w:pStyle w:val="44"/>
              <w:spacing w:before="196"/>
              <w:ind w:left="106"/>
              <w:rPr>
                <w:rFonts w:hint="eastAsia" w:ascii="宋体" w:hAnsi="宋体" w:eastAsia="宋体" w:cs="宋体"/>
                <w:color w:val="auto"/>
                <w:sz w:val="24"/>
                <w:highlight w:val="none"/>
              </w:rPr>
            </w:pPr>
            <w:r>
              <w:rPr>
                <w:rFonts w:hint="eastAsia" w:ascii="宋体" w:hAnsi="宋体" w:eastAsia="宋体" w:cs="宋体"/>
                <w:color w:val="auto"/>
                <w:sz w:val="24"/>
                <w:highlight w:val="none"/>
              </w:rPr>
              <w:t>按商务标中报价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751"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2417"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工程质量违约金</w:t>
            </w:r>
          </w:p>
        </w:tc>
        <w:tc>
          <w:tcPr>
            <w:tcW w:w="1164" w:type="dxa"/>
          </w:tcPr>
          <w:p>
            <w:pPr>
              <w:pStyle w:val="44"/>
              <w:spacing w:before="186"/>
              <w:ind w:left="547"/>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5151" w:type="dxa"/>
          </w:tcPr>
          <w:p>
            <w:pPr>
              <w:pStyle w:val="44"/>
              <w:tabs>
                <w:tab w:val="left" w:pos="2146"/>
              </w:tabs>
              <w:spacing w:before="175"/>
              <w:ind w:left="106"/>
              <w:rPr>
                <w:rFonts w:hint="eastAsia" w:ascii="宋体" w:hAnsi="宋体" w:eastAsia="宋体" w:cs="宋体"/>
                <w:color w:val="auto"/>
                <w:sz w:val="24"/>
                <w:highlight w:val="none"/>
              </w:rPr>
            </w:pPr>
            <w:r>
              <w:rPr>
                <w:rFonts w:hint="eastAsia" w:ascii="宋体" w:hAnsi="宋体" w:eastAsia="宋体" w:cs="宋体"/>
                <w:color w:val="auto"/>
                <w:sz w:val="24"/>
                <w:highlight w:val="none"/>
              </w:rPr>
              <w:t>见上篇第六章合同专用条款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751" w:type="dxa"/>
          </w:tcPr>
          <w:p>
            <w:pPr>
              <w:pStyle w:val="44"/>
              <w:spacing w:before="215"/>
              <w:jc w:val="center"/>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lang w:val="en-US"/>
              </w:rPr>
              <w:t>10</w:t>
            </w:r>
          </w:p>
        </w:tc>
        <w:tc>
          <w:tcPr>
            <w:tcW w:w="2417"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竣工结算款付款时间</w:t>
            </w:r>
          </w:p>
        </w:tc>
        <w:tc>
          <w:tcPr>
            <w:tcW w:w="1164" w:type="dxa"/>
          </w:tcPr>
          <w:p>
            <w:pPr>
              <w:pStyle w:val="44"/>
              <w:spacing w:before="200"/>
              <w:ind w:left="547"/>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5151" w:type="dxa"/>
          </w:tcPr>
          <w:p>
            <w:pPr>
              <w:pStyle w:val="44"/>
              <w:spacing w:before="189"/>
              <w:ind w:left="106"/>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 xml:space="preserve">签发竣工结算付款凭证后 </w:t>
            </w:r>
            <w:r>
              <w:rPr>
                <w:rFonts w:hint="eastAsia" w:ascii="宋体" w:hAnsi="宋体" w:eastAsia="宋体" w:cs="宋体"/>
                <w:color w:val="auto"/>
                <w:sz w:val="24"/>
                <w:highlight w:val="none"/>
                <w:u w:val="single"/>
              </w:rPr>
              <w:t xml:space="preserve">28 </w:t>
            </w:r>
            <w:r>
              <w:rPr>
                <w:rFonts w:hint="eastAsia" w:ascii="宋体" w:hAnsi="宋体" w:eastAsia="宋体" w:cs="宋体"/>
                <w:color w:val="auto"/>
                <w:sz w:val="24"/>
                <w:highlight w:val="none"/>
              </w:rPr>
              <w:t>个工作日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751"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2417"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能源管理费付款时间</w:t>
            </w:r>
          </w:p>
        </w:tc>
        <w:tc>
          <w:tcPr>
            <w:tcW w:w="1164" w:type="dxa"/>
          </w:tcPr>
          <w:p>
            <w:pPr>
              <w:pStyle w:val="44"/>
              <w:spacing w:before="183"/>
              <w:ind w:left="547"/>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5151" w:type="dxa"/>
          </w:tcPr>
          <w:p>
            <w:pPr>
              <w:pStyle w:val="44"/>
              <w:spacing w:before="175"/>
              <w:ind w:left="106"/>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签发季度付款凭证后 </w:t>
            </w:r>
            <w:r>
              <w:rPr>
                <w:rFonts w:hint="eastAsia" w:ascii="宋体" w:hAnsi="宋体" w:eastAsia="宋体" w:cs="宋体"/>
                <w:color w:val="auto"/>
                <w:sz w:val="24"/>
                <w:highlight w:val="none"/>
                <w:u w:val="single"/>
              </w:rPr>
              <w:t xml:space="preserve">14 </w:t>
            </w:r>
            <w:r>
              <w:rPr>
                <w:rFonts w:hint="eastAsia" w:ascii="宋体" w:hAnsi="宋体" w:eastAsia="宋体" w:cs="宋体"/>
                <w:color w:val="auto"/>
                <w:sz w:val="24"/>
                <w:highlight w:val="none"/>
              </w:rPr>
              <w:t>个工作日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51"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2417" w:type="dxa"/>
          </w:tcPr>
          <w:p>
            <w:pPr>
              <w:pStyle w:val="44"/>
              <w:spacing w:before="21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总包服务费</w:t>
            </w:r>
          </w:p>
        </w:tc>
        <w:tc>
          <w:tcPr>
            <w:tcW w:w="1164" w:type="dxa"/>
          </w:tcPr>
          <w:p>
            <w:pPr>
              <w:pStyle w:val="44"/>
              <w:spacing w:before="200"/>
              <w:ind w:left="547"/>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5151" w:type="dxa"/>
          </w:tcPr>
          <w:p>
            <w:pPr>
              <w:pStyle w:val="44"/>
              <w:spacing w:before="189"/>
              <w:ind w:left="106"/>
              <w:rPr>
                <w:rFonts w:hint="eastAsia" w:ascii="宋体" w:hAnsi="宋体" w:eastAsia="宋体" w:cs="宋体"/>
                <w:color w:val="auto"/>
                <w:sz w:val="24"/>
                <w:highlight w:val="none"/>
                <w:lang w:val="en-US"/>
              </w:rPr>
            </w:pPr>
            <w:r>
              <w:rPr>
                <w:rFonts w:hint="eastAsia" w:ascii="宋体" w:hAnsi="宋体" w:eastAsia="宋体" w:cs="宋体"/>
                <w:color w:val="auto"/>
                <w:sz w:val="24"/>
                <w:szCs w:val="24"/>
                <w:highlight w:val="none"/>
              </w:rPr>
              <w:t>按安装费的3%计取，设备费不计</w:t>
            </w:r>
          </w:p>
        </w:tc>
      </w:tr>
    </w:tbl>
    <w:p>
      <w:pPr>
        <w:pStyle w:val="2"/>
        <w:spacing w:before="11"/>
        <w:rPr>
          <w:rFonts w:hint="eastAsia" w:ascii="宋体" w:hAnsi="宋体" w:eastAsia="宋体" w:cs="宋体"/>
          <w:b/>
          <w:color w:val="auto"/>
          <w:sz w:val="30"/>
          <w:highlight w:val="none"/>
        </w:rPr>
      </w:pPr>
    </w:p>
    <w:p>
      <w:pPr>
        <w:pStyle w:val="2"/>
        <w:spacing w:before="11"/>
        <w:rPr>
          <w:rFonts w:hint="eastAsia" w:ascii="宋体" w:hAnsi="宋体" w:eastAsia="宋体" w:cs="宋体"/>
          <w:b/>
          <w:color w:val="auto"/>
          <w:sz w:val="30"/>
          <w:highlight w:val="none"/>
        </w:rPr>
      </w:pPr>
    </w:p>
    <w:p>
      <w:pPr>
        <w:pStyle w:val="2"/>
        <w:tabs>
          <w:tab w:val="left" w:pos="2573"/>
          <w:tab w:val="left" w:pos="3413"/>
        </w:tabs>
        <w:ind w:left="653"/>
        <w:rPr>
          <w:rFonts w:hint="eastAsia" w:ascii="宋体" w:hAnsi="宋体" w:eastAsia="宋体" w:cs="宋体"/>
          <w:color w:val="auto"/>
          <w:sz w:val="20"/>
          <w:highlight w:val="none"/>
        </w:rPr>
      </w:pPr>
      <w:r>
        <w:rPr>
          <w:rFonts w:hint="eastAsia" w:ascii="宋体" w:hAnsi="宋体" w:eastAsia="宋体" w:cs="宋体"/>
          <w:color w:val="auto"/>
          <w:highlight w:val="none"/>
        </w:rPr>
        <w:t>投标人名称：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（签字或盖章）（电子投标文件中须盖电子印章）</w:t>
      </w:r>
    </w:p>
    <w:p>
      <w:pPr>
        <w:pStyle w:val="2"/>
        <w:tabs>
          <w:tab w:val="left" w:pos="4253"/>
          <w:tab w:val="left" w:pos="9775"/>
        </w:tabs>
        <w:spacing w:before="74"/>
        <w:ind w:left="653"/>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（签字或盖章）（电子投标文件中须盖电子印章）</w:t>
      </w:r>
    </w:p>
    <w:p>
      <w:pPr>
        <w:pStyle w:val="2"/>
        <w:tabs>
          <w:tab w:val="left" w:pos="2213"/>
          <w:tab w:val="left" w:pos="3173"/>
          <w:tab w:val="left" w:pos="4133"/>
        </w:tabs>
        <w:spacing w:before="67"/>
        <w:ind w:left="653"/>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pPr>
        <w:rPr>
          <w:rFonts w:hint="eastAsia" w:ascii="宋体" w:hAnsi="宋体" w:eastAsia="宋体" w:cs="宋体"/>
          <w:color w:val="auto"/>
          <w:highlight w:val="none"/>
        </w:rPr>
        <w:sectPr>
          <w:pgSz w:w="11905" w:h="16838"/>
          <w:pgMar w:top="1474" w:right="1474" w:bottom="1474" w:left="1474" w:header="799" w:footer="907" w:gutter="0"/>
          <w:cols w:space="0" w:num="1"/>
          <w:rtlGutter w:val="0"/>
          <w:docGrid w:linePitch="326" w:charSpace="0"/>
        </w:sectPr>
      </w:pPr>
    </w:p>
    <w:p>
      <w:pPr>
        <w:spacing w:before="120" w:line="180" w:lineRule="auto"/>
        <w:ind w:firstLine="3931"/>
        <w:rPr>
          <w:rFonts w:hint="eastAsia" w:ascii="宋体" w:hAnsi="宋体" w:eastAsia="宋体" w:cs="宋体"/>
          <w:color w:val="auto"/>
          <w:sz w:val="28"/>
          <w:szCs w:val="28"/>
          <w:highlight w:val="none"/>
        </w:rPr>
      </w:pPr>
      <w:r>
        <w:rPr>
          <w:rFonts w:hint="eastAsia" w:ascii="宋体" w:hAnsi="宋体" w:eastAsia="宋体" w:cs="宋体"/>
          <w:b/>
          <w:bCs/>
          <w:color w:val="auto"/>
          <w:spacing w:val="-1"/>
          <w:sz w:val="28"/>
          <w:szCs w:val="28"/>
          <w:highlight w:val="none"/>
        </w:rPr>
        <w:t>投标报价表</w:t>
      </w:r>
    </w:p>
    <w:p>
      <w:pPr>
        <w:rPr>
          <w:rFonts w:hint="eastAsia" w:ascii="宋体" w:hAnsi="宋体" w:eastAsia="宋体" w:cs="宋体"/>
          <w:color w:val="auto"/>
          <w:highlight w:val="none"/>
        </w:rPr>
      </w:pPr>
    </w:p>
    <w:p>
      <w:pPr>
        <w:spacing w:line="28" w:lineRule="exact"/>
        <w:rPr>
          <w:rFonts w:hint="eastAsia" w:ascii="宋体" w:hAnsi="宋体" w:eastAsia="宋体" w:cs="宋体"/>
          <w:color w:val="auto"/>
          <w:highlight w:val="none"/>
        </w:rPr>
      </w:pPr>
    </w:p>
    <w:tbl>
      <w:tblPr>
        <w:tblStyle w:val="42"/>
        <w:tblW w:w="91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15"/>
        <w:gridCol w:w="68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2315" w:type="dxa"/>
            <w:tcBorders>
              <w:right w:val="single" w:color="000000" w:sz="4" w:space="0"/>
            </w:tcBorders>
            <w:vAlign w:val="top"/>
          </w:tcPr>
          <w:p>
            <w:pPr>
              <w:spacing w:before="52" w:line="185" w:lineRule="auto"/>
              <w:ind w:firstLine="511"/>
              <w:rPr>
                <w:rFonts w:hint="eastAsia" w:ascii="宋体" w:hAnsi="宋体" w:eastAsia="宋体" w:cs="宋体"/>
                <w:color w:val="auto"/>
                <w:sz w:val="24"/>
                <w:szCs w:val="24"/>
                <w:highlight w:val="none"/>
              </w:rPr>
            </w:pPr>
            <w:r>
              <w:rPr>
                <w:rFonts w:hint="eastAsia" w:ascii="宋体" w:hAnsi="宋体" w:eastAsia="宋体" w:cs="宋体"/>
                <w:color w:val="auto"/>
                <w:spacing w:val="-23"/>
                <w:sz w:val="24"/>
                <w:szCs w:val="24"/>
                <w:highlight w:val="none"/>
                <w14:textOutline w14:w="4354" w14:cap="flat" w14:cmpd="sng">
                  <w14:solidFill>
                    <w14:srgbClr w14:val="000000"/>
                  </w14:solidFill>
                  <w14:prstDash w14:val="solid"/>
                  <w14:miter w14:val="0"/>
                </w14:textOutline>
              </w:rPr>
              <w:t>项</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23"/>
                <w:sz w:val="24"/>
                <w:szCs w:val="24"/>
                <w:highlight w:val="none"/>
                <w14:textOutline w14:w="4354" w14:cap="flat" w14:cmpd="sng">
                  <w14:solidFill>
                    <w14:srgbClr w14:val="000000"/>
                  </w14:solidFill>
                  <w14:prstDash w14:val="solid"/>
                  <w14:miter w14:val="0"/>
                </w14:textOutline>
              </w:rPr>
              <w:t>目</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23"/>
                <w:sz w:val="24"/>
                <w:szCs w:val="24"/>
                <w:highlight w:val="none"/>
                <w14:textOutline w14:w="4354" w14:cap="flat" w14:cmpd="sng">
                  <w14:solidFill>
                    <w14:srgbClr w14:val="000000"/>
                  </w14:solidFill>
                  <w14:prstDash w14:val="solid"/>
                  <w14:miter w14:val="0"/>
                </w14:textOutline>
              </w:rPr>
              <w:t>名</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3"/>
                <w:sz w:val="24"/>
                <w:szCs w:val="24"/>
                <w:highlight w:val="none"/>
                <w14:textOutline w14:w="4354" w14:cap="flat" w14:cmpd="sng">
                  <w14:solidFill>
                    <w14:srgbClr w14:val="000000"/>
                  </w14:solidFill>
                  <w14:prstDash w14:val="solid"/>
                  <w14:miter w14:val="0"/>
                </w14:textOutline>
              </w:rPr>
              <w:t>称</w:t>
            </w:r>
          </w:p>
        </w:tc>
        <w:tc>
          <w:tcPr>
            <w:tcW w:w="6827" w:type="dxa"/>
            <w:tcBorders>
              <w:left w:val="single" w:color="000000" w:sz="4" w:space="0"/>
            </w:tcBorders>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2315" w:type="dxa"/>
            <w:tcBorders>
              <w:right w:val="single" w:color="000000" w:sz="4" w:space="0"/>
            </w:tcBorders>
            <w:vAlign w:val="top"/>
          </w:tcPr>
          <w:p>
            <w:pPr>
              <w:spacing w:before="38" w:line="185" w:lineRule="auto"/>
              <w:ind w:firstLine="56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14:textOutline w14:w="4354" w14:cap="flat" w14:cmpd="sng">
                  <w14:solidFill>
                    <w14:srgbClr w14:val="000000"/>
                  </w14:solidFill>
                  <w14:prstDash w14:val="solid"/>
                  <w14:miter w14:val="0"/>
                </w14:textOutline>
              </w:rPr>
              <w:t>投标人全称</w:t>
            </w:r>
          </w:p>
        </w:tc>
        <w:tc>
          <w:tcPr>
            <w:tcW w:w="6827" w:type="dxa"/>
            <w:tcBorders>
              <w:left w:val="single" w:color="000000" w:sz="4" w:space="0"/>
            </w:tcBorders>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1" w:hRule="atLeast"/>
        </w:trPr>
        <w:tc>
          <w:tcPr>
            <w:tcW w:w="2315" w:type="dxa"/>
            <w:tcBorders>
              <w:right w:val="single" w:color="000000" w:sz="4" w:space="0"/>
            </w:tcBorders>
            <w:vAlign w:val="top"/>
          </w:tcPr>
          <w:p>
            <w:pPr>
              <w:spacing w:before="315" w:line="185" w:lineRule="auto"/>
              <w:ind w:firstLine="6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14:textOutline w14:w="4354" w14:cap="flat" w14:cmpd="sng">
                  <w14:solidFill>
                    <w14:srgbClr w14:val="000000"/>
                  </w14:solidFill>
                  <w14:prstDash w14:val="solid"/>
                  <w14:miter w14:val="0"/>
                </w14:textOutline>
              </w:rPr>
              <w:t>投标报价</w:t>
            </w:r>
          </w:p>
        </w:tc>
        <w:tc>
          <w:tcPr>
            <w:tcW w:w="6827" w:type="dxa"/>
            <w:tcBorders>
              <w:left w:val="single" w:color="000000" w:sz="4" w:space="0"/>
            </w:tcBorders>
            <w:vAlign w:val="top"/>
          </w:tcPr>
          <w:p>
            <w:pPr>
              <w:spacing w:before="36" w:line="185" w:lineRule="auto"/>
              <w:ind w:firstLine="1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总价</w:t>
            </w:r>
          </w:p>
          <w:p>
            <w:pPr>
              <w:spacing w:before="36" w:line="185" w:lineRule="auto"/>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小写：</w:t>
            </w:r>
          </w:p>
          <w:p>
            <w:pPr>
              <w:spacing w:before="318" w:line="185" w:lineRule="auto"/>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大写：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315" w:type="dxa"/>
            <w:tcBorders>
              <w:right w:val="single" w:color="000000" w:sz="4" w:space="0"/>
            </w:tcBorders>
            <w:vAlign w:val="top"/>
          </w:tcPr>
          <w:p>
            <w:pPr>
              <w:spacing w:before="61" w:line="185" w:lineRule="auto"/>
              <w:ind w:firstLine="956"/>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14:textOutline w14:w="4354" w14:cap="flat" w14:cmpd="sng">
                  <w14:solidFill>
                    <w14:srgbClr w14:val="000000"/>
                  </w14:solidFill>
                  <w14:prstDash w14:val="solid"/>
                  <w14:miter w14:val="0"/>
                </w14:textOutline>
              </w:rPr>
              <w:t>品牌</w:t>
            </w:r>
          </w:p>
        </w:tc>
        <w:tc>
          <w:tcPr>
            <w:tcW w:w="6827" w:type="dxa"/>
            <w:tcBorders>
              <w:left w:val="single" w:color="000000" w:sz="4" w:space="0"/>
            </w:tcBorders>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315" w:type="dxa"/>
            <w:tcBorders>
              <w:right w:val="single" w:color="000000" w:sz="4" w:space="0"/>
            </w:tcBorders>
            <w:vAlign w:val="top"/>
          </w:tcPr>
          <w:p>
            <w:pPr>
              <w:spacing w:before="71" w:line="185" w:lineRule="auto"/>
              <w:ind w:firstLine="93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4354" w14:cap="flat" w14:cmpd="sng">
                  <w14:solidFill>
                    <w14:srgbClr w14:val="000000"/>
                  </w14:solidFill>
                  <w14:prstDash w14:val="solid"/>
                  <w14:miter w14:val="0"/>
                </w14:textOutline>
              </w:rPr>
              <w:t>工期</w:t>
            </w:r>
          </w:p>
        </w:tc>
        <w:tc>
          <w:tcPr>
            <w:tcW w:w="6827" w:type="dxa"/>
            <w:tcBorders>
              <w:left w:val="single" w:color="000000" w:sz="4" w:space="0"/>
            </w:tcBorders>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8" w:hRule="atLeast"/>
        </w:trPr>
        <w:tc>
          <w:tcPr>
            <w:tcW w:w="2315" w:type="dxa"/>
            <w:tcBorders>
              <w:right w:val="single" w:color="000000" w:sz="4" w:space="0"/>
            </w:tcBorders>
            <w:vAlign w:val="top"/>
          </w:tcPr>
          <w:p>
            <w:pPr>
              <w:spacing w:line="255" w:lineRule="auto"/>
              <w:rPr>
                <w:rFonts w:hint="eastAsia" w:ascii="宋体" w:hAnsi="宋体" w:eastAsia="宋体" w:cs="宋体"/>
                <w:color w:val="auto"/>
                <w:sz w:val="21"/>
                <w:highlight w:val="none"/>
              </w:rPr>
            </w:pPr>
          </w:p>
          <w:p>
            <w:pPr>
              <w:spacing w:line="256" w:lineRule="auto"/>
              <w:rPr>
                <w:rFonts w:hint="eastAsia" w:ascii="宋体" w:hAnsi="宋体" w:eastAsia="宋体" w:cs="宋体"/>
                <w:color w:val="auto"/>
                <w:sz w:val="21"/>
                <w:highlight w:val="none"/>
              </w:rPr>
            </w:pPr>
          </w:p>
          <w:p>
            <w:pPr>
              <w:spacing w:line="256" w:lineRule="auto"/>
              <w:rPr>
                <w:rFonts w:hint="eastAsia" w:ascii="宋体" w:hAnsi="宋体" w:eastAsia="宋体" w:cs="宋体"/>
                <w:color w:val="auto"/>
                <w:sz w:val="21"/>
                <w:highlight w:val="none"/>
              </w:rPr>
            </w:pPr>
          </w:p>
          <w:p>
            <w:pPr>
              <w:spacing w:line="256" w:lineRule="auto"/>
              <w:rPr>
                <w:rFonts w:hint="eastAsia" w:ascii="宋体" w:hAnsi="宋体" w:eastAsia="宋体" w:cs="宋体"/>
                <w:color w:val="auto"/>
                <w:sz w:val="21"/>
                <w:highlight w:val="none"/>
              </w:rPr>
            </w:pPr>
          </w:p>
          <w:p>
            <w:pPr>
              <w:spacing w:line="256" w:lineRule="auto"/>
              <w:rPr>
                <w:rFonts w:hint="eastAsia" w:ascii="宋体" w:hAnsi="宋体" w:eastAsia="宋体" w:cs="宋体"/>
                <w:color w:val="auto"/>
                <w:sz w:val="21"/>
                <w:highlight w:val="none"/>
              </w:rPr>
            </w:pPr>
          </w:p>
          <w:p>
            <w:pPr>
              <w:spacing w:line="256" w:lineRule="auto"/>
              <w:rPr>
                <w:rFonts w:hint="eastAsia" w:ascii="宋体" w:hAnsi="宋体" w:eastAsia="宋体" w:cs="宋体"/>
                <w:color w:val="auto"/>
                <w:sz w:val="21"/>
                <w:highlight w:val="none"/>
              </w:rPr>
            </w:pPr>
          </w:p>
          <w:p>
            <w:pPr>
              <w:spacing w:line="256" w:lineRule="auto"/>
              <w:rPr>
                <w:rFonts w:hint="eastAsia" w:ascii="宋体" w:hAnsi="宋体" w:eastAsia="宋体" w:cs="宋体"/>
                <w:color w:val="auto"/>
                <w:sz w:val="21"/>
                <w:highlight w:val="none"/>
              </w:rPr>
            </w:pPr>
          </w:p>
          <w:p>
            <w:pPr>
              <w:spacing w:line="256" w:lineRule="auto"/>
              <w:rPr>
                <w:rFonts w:hint="eastAsia" w:ascii="宋体" w:hAnsi="宋体" w:eastAsia="宋体" w:cs="宋体"/>
                <w:color w:val="auto"/>
                <w:sz w:val="21"/>
                <w:highlight w:val="none"/>
              </w:rPr>
            </w:pPr>
          </w:p>
          <w:p>
            <w:pPr>
              <w:spacing w:line="256" w:lineRule="auto"/>
              <w:rPr>
                <w:rFonts w:hint="eastAsia" w:ascii="宋体" w:hAnsi="宋体" w:eastAsia="宋体" w:cs="宋体"/>
                <w:color w:val="auto"/>
                <w:sz w:val="21"/>
                <w:highlight w:val="none"/>
              </w:rPr>
            </w:pPr>
          </w:p>
          <w:p>
            <w:pPr>
              <w:spacing w:line="256" w:lineRule="auto"/>
              <w:rPr>
                <w:rFonts w:hint="eastAsia" w:ascii="宋体" w:hAnsi="宋体" w:eastAsia="宋体" w:cs="宋体"/>
                <w:color w:val="auto"/>
                <w:sz w:val="21"/>
                <w:highlight w:val="none"/>
              </w:rPr>
            </w:pPr>
          </w:p>
          <w:p>
            <w:pPr>
              <w:spacing w:line="256" w:lineRule="auto"/>
              <w:rPr>
                <w:rFonts w:hint="eastAsia" w:ascii="宋体" w:hAnsi="宋体" w:eastAsia="宋体" w:cs="宋体"/>
                <w:color w:val="auto"/>
                <w:sz w:val="21"/>
                <w:highlight w:val="none"/>
              </w:rPr>
            </w:pPr>
          </w:p>
          <w:p>
            <w:pPr>
              <w:spacing w:before="78" w:line="185" w:lineRule="auto"/>
              <w:ind w:firstLine="93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14:textOutline w14:w="4354" w14:cap="flat" w14:cmpd="sng">
                  <w14:solidFill>
                    <w14:srgbClr w14:val="000000"/>
                  </w14:solidFill>
                  <w14:prstDash w14:val="solid"/>
                  <w14:miter w14:val="0"/>
                </w14:textOutline>
              </w:rPr>
              <w:t>备注</w:t>
            </w:r>
          </w:p>
        </w:tc>
        <w:tc>
          <w:tcPr>
            <w:tcW w:w="6827" w:type="dxa"/>
            <w:tcBorders>
              <w:left w:val="single" w:color="000000" w:sz="4" w:space="0"/>
            </w:tcBorders>
            <w:vAlign w:val="top"/>
          </w:tcPr>
          <w:p>
            <w:pPr>
              <w:pStyle w:val="44"/>
              <w:spacing w:before="215"/>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1、表中最终投标报价必须与投标报价明细表中总价完全一致， 如不一致，以投标报价明细表中报价为准。</w:t>
            </w:r>
          </w:p>
          <w:p>
            <w:pPr>
              <w:pStyle w:val="44"/>
              <w:spacing w:before="215"/>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2、表中最终报价为优惠后报价，并以人民币的形式表示。</w:t>
            </w:r>
          </w:p>
          <w:p>
            <w:pPr>
              <w:pStyle w:val="44"/>
              <w:spacing w:before="215"/>
              <w:jc w:val="lef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3、投标人的投标价应包含但不限于:①电梯设备(含备品备件) 及安装费；②井道尺寸交接确认后全部安装调整费用、基坑缓 冲器砼墩及爬梯、预留孔洞、召唤盒开孔修复费用、土建配合 费安装调试验收程序等费用； ③施工用电、垂直运输等服务费； ④电梯不锈钢门套材料及施工安装等所需的一切费用；⑤电源开关所用的电缆、钢套管的一切材料及安装等所发生的一切费 用；⑥ 供货、包装运输费(材料运至交货地点的装、运、保险、卸车等一切费用)、安装、调试、培训、相关部门检测验收合格 准许运行、维保、售后服务、各项措施费用以及风险费用、管 理费、营业税及其他税费、利润等所需的一切费用及招标文件中约定需完成内容所包含的一切费用；⑦投标设备涉及的专利费用；⑧电梯安装中需要的市场交易服务费； ⑨按照设计图纸、 本次招标文件中约定的技术标准要求，且还须考虑电梯机房空调、五方对讲、机房地坪防尘、节能等一切费用；⑩以上费用 均包含在中标价中，该部分费用不再另行考虑。</w:t>
            </w:r>
          </w:p>
        </w:tc>
      </w:tr>
    </w:tbl>
    <w:p>
      <w:pPr>
        <w:spacing w:line="277" w:lineRule="auto"/>
        <w:rPr>
          <w:rFonts w:hint="eastAsia" w:ascii="宋体" w:hAnsi="宋体" w:eastAsia="宋体" w:cs="宋体"/>
          <w:color w:val="auto"/>
          <w:sz w:val="21"/>
          <w:highlight w:val="none"/>
        </w:rPr>
      </w:pPr>
    </w:p>
    <w:p>
      <w:pPr>
        <w:spacing w:line="278" w:lineRule="auto"/>
        <w:rPr>
          <w:rFonts w:hint="eastAsia" w:ascii="宋体" w:hAnsi="宋体" w:eastAsia="宋体" w:cs="宋体"/>
          <w:color w:val="auto"/>
          <w:sz w:val="21"/>
          <w:highlight w:val="none"/>
        </w:rPr>
      </w:pPr>
    </w:p>
    <w:p>
      <w:pPr>
        <w:spacing w:before="78" w:line="185" w:lineRule="auto"/>
        <w:ind w:firstLine="144"/>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投</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9"/>
          <w:sz w:val="24"/>
          <w:szCs w:val="24"/>
          <w:highlight w:val="none"/>
        </w:rPr>
        <w:t>标</w:t>
      </w:r>
      <w:r>
        <w:rPr>
          <w:rFonts w:hint="eastAsia" w:ascii="宋体" w:hAnsi="宋体" w:eastAsia="宋体" w:cs="宋体"/>
          <w:color w:val="auto"/>
          <w:spacing w:val="11"/>
          <w:sz w:val="24"/>
          <w:szCs w:val="24"/>
          <w:highlight w:val="none"/>
        </w:rPr>
        <w:t xml:space="preserve"> </w:t>
      </w:r>
      <w:r>
        <w:rPr>
          <w:rFonts w:hint="eastAsia" w:ascii="宋体" w:hAnsi="宋体" w:eastAsia="宋体" w:cs="宋体"/>
          <w:color w:val="auto"/>
          <w:spacing w:val="-19"/>
          <w:sz w:val="24"/>
          <w:szCs w:val="24"/>
          <w:highlight w:val="none"/>
        </w:rPr>
        <w:t>人：</w:t>
      </w:r>
      <w:r>
        <w:rPr>
          <w:rFonts w:hint="eastAsia" w:ascii="宋体" w:hAnsi="宋体" w:eastAsia="宋体" w:cs="宋体"/>
          <w:color w:val="auto"/>
          <w:spacing w:val="19"/>
          <w:sz w:val="24"/>
          <w:szCs w:val="24"/>
          <w:highlight w:val="none"/>
          <w:u w:val="single" w:color="auto"/>
        </w:rPr>
        <w:t xml:space="preserve">   </w:t>
      </w:r>
      <w:r>
        <w:rPr>
          <w:rFonts w:hint="eastAsia" w:ascii="宋体" w:hAnsi="宋体" w:eastAsia="宋体" w:cs="宋体"/>
          <w:color w:val="auto"/>
          <w:spacing w:val="-19"/>
          <w:sz w:val="24"/>
          <w:szCs w:val="24"/>
          <w:highlight w:val="none"/>
          <w:u w:val="single" w:color="auto"/>
        </w:rPr>
        <w:t>名称</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19"/>
          <w:sz w:val="24"/>
          <w:szCs w:val="24"/>
          <w:highlight w:val="none"/>
          <w:u w:val="single" w:color="auto"/>
        </w:rPr>
        <w:t>（盖章</w:t>
      </w:r>
      <w:r>
        <w:rPr>
          <w:rFonts w:hint="eastAsia" w:ascii="宋体" w:hAnsi="宋体" w:eastAsia="宋体" w:cs="宋体"/>
          <w:color w:val="auto"/>
          <w:spacing w:val="-4"/>
          <w:sz w:val="24"/>
          <w:szCs w:val="24"/>
          <w:highlight w:val="none"/>
          <w:u w:val="single" w:color="auto"/>
        </w:rPr>
        <w:t>）（</w:t>
      </w:r>
      <w:r>
        <w:rPr>
          <w:rFonts w:hint="eastAsia" w:ascii="宋体" w:hAnsi="宋体" w:eastAsia="宋体" w:cs="宋体"/>
          <w:color w:val="auto"/>
          <w:spacing w:val="-19"/>
          <w:sz w:val="24"/>
          <w:szCs w:val="24"/>
          <w:highlight w:val="none"/>
          <w:u w:val="single" w:color="auto"/>
        </w:rPr>
        <w:t>电子投标文件中须盖单位电子印章）</w:t>
      </w:r>
      <w:r>
        <w:rPr>
          <w:rFonts w:hint="eastAsia" w:ascii="宋体" w:hAnsi="宋体" w:eastAsia="宋体" w:cs="宋体"/>
          <w:color w:val="auto"/>
          <w:sz w:val="24"/>
          <w:szCs w:val="24"/>
          <w:highlight w:val="none"/>
          <w:u w:val="single" w:color="auto"/>
        </w:rPr>
        <w:t xml:space="preserve">              </w:t>
      </w:r>
    </w:p>
    <w:p>
      <w:pPr>
        <w:spacing w:before="275" w:line="185" w:lineRule="auto"/>
        <w:ind w:firstLine="142"/>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法定代表人或其委托代理人</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2"/>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rPr>
        <w:t>（</w:t>
      </w:r>
      <w:r>
        <w:rPr>
          <w:rFonts w:hint="eastAsia" w:ascii="宋体" w:hAnsi="宋体" w:eastAsia="宋体" w:cs="宋体"/>
          <w:color w:val="auto"/>
          <w:spacing w:val="-14"/>
          <w:sz w:val="24"/>
          <w:szCs w:val="24"/>
          <w:highlight w:val="none"/>
          <w:u w:val="single" w:color="auto"/>
        </w:rPr>
        <w:t>签字或盖章</w:t>
      </w:r>
      <w:r>
        <w:rPr>
          <w:rFonts w:hint="eastAsia" w:ascii="宋体" w:hAnsi="宋体" w:eastAsia="宋体" w:cs="宋体"/>
          <w:color w:val="auto"/>
          <w:spacing w:val="-6"/>
          <w:sz w:val="24"/>
          <w:szCs w:val="24"/>
          <w:highlight w:val="none"/>
          <w:u w:val="single" w:color="auto"/>
        </w:rPr>
        <w:t>）（</w:t>
      </w:r>
      <w:r>
        <w:rPr>
          <w:rFonts w:hint="eastAsia" w:ascii="宋体" w:hAnsi="宋体" w:eastAsia="宋体" w:cs="宋体"/>
          <w:color w:val="auto"/>
          <w:spacing w:val="-14"/>
          <w:sz w:val="24"/>
          <w:szCs w:val="24"/>
          <w:highlight w:val="none"/>
          <w:u w:val="single" w:color="auto"/>
        </w:rPr>
        <w:t>电子投标文件中须盖电子印章）</w:t>
      </w:r>
      <w:r>
        <w:rPr>
          <w:rFonts w:hint="eastAsia" w:ascii="宋体" w:hAnsi="宋体" w:eastAsia="宋体" w:cs="宋体"/>
          <w:color w:val="auto"/>
          <w:sz w:val="24"/>
          <w:szCs w:val="24"/>
          <w:highlight w:val="none"/>
          <w:u w:val="single" w:color="auto"/>
        </w:rPr>
        <w:t xml:space="preserve">  </w:t>
      </w:r>
    </w:p>
    <w:p>
      <w:pPr>
        <w:pStyle w:val="41"/>
        <w:ind w:firstLine="548"/>
        <w:rPr>
          <w:rFonts w:hint="eastAsia" w:ascii="宋体" w:hAnsi="宋体" w:eastAsia="宋体" w:cs="宋体"/>
          <w:color w:val="auto"/>
          <w:sz w:val="28"/>
          <w:highlight w:val="none"/>
        </w:rPr>
      </w:pPr>
    </w:p>
    <w:p>
      <w:pPr>
        <w:pStyle w:val="41"/>
        <w:ind w:firstLine="548"/>
        <w:rPr>
          <w:rFonts w:hint="eastAsia" w:ascii="宋体" w:hAnsi="宋体" w:eastAsia="宋体" w:cs="宋体"/>
          <w:color w:val="auto"/>
          <w:sz w:val="28"/>
          <w:highlight w:val="none"/>
        </w:rPr>
      </w:pPr>
    </w:p>
    <w:p>
      <w:pPr>
        <w:spacing w:before="78" w:line="185"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日期：年</w:t>
      </w:r>
      <w:r>
        <w:rPr>
          <w:rFonts w:hint="eastAsia" w:ascii="宋体" w:hAnsi="宋体" w:eastAsia="宋体" w:cs="宋体"/>
          <w:color w:val="auto"/>
          <w:spacing w:val="-8"/>
          <w:sz w:val="24"/>
          <w:szCs w:val="24"/>
          <w:highlight w:val="none"/>
          <w:lang w:val="en-US" w:eastAsia="zh-CN"/>
        </w:rPr>
        <w:t xml:space="preserve"> </w:t>
      </w:r>
      <w:r>
        <w:rPr>
          <w:rFonts w:hint="eastAsia" w:ascii="宋体" w:hAnsi="宋体" w:eastAsia="宋体" w:cs="宋体"/>
          <w:color w:val="auto"/>
          <w:spacing w:val="-8"/>
          <w:sz w:val="24"/>
          <w:szCs w:val="24"/>
          <w:highlight w:val="none"/>
        </w:rPr>
        <w:t>月</w:t>
      </w:r>
      <w:r>
        <w:rPr>
          <w:rFonts w:hint="eastAsia" w:ascii="宋体" w:hAnsi="宋体" w:eastAsia="宋体" w:cs="宋体"/>
          <w:color w:val="auto"/>
          <w:spacing w:val="-8"/>
          <w:sz w:val="24"/>
          <w:szCs w:val="24"/>
          <w:highlight w:val="none"/>
          <w:lang w:val="en-US" w:eastAsia="zh-CN"/>
        </w:rPr>
        <w:t xml:space="preserve"> </w:t>
      </w:r>
      <w:r>
        <w:rPr>
          <w:rFonts w:hint="eastAsia" w:ascii="宋体" w:hAnsi="宋体" w:eastAsia="宋体" w:cs="宋体"/>
          <w:color w:val="auto"/>
          <w:spacing w:val="-8"/>
          <w:sz w:val="24"/>
          <w:szCs w:val="24"/>
          <w:highlight w:val="none"/>
        </w:rPr>
        <w:t>日</w:t>
      </w:r>
    </w:p>
    <w:p>
      <w:pPr>
        <w:spacing w:line="360" w:lineRule="auto"/>
        <w:ind w:firstLine="560" w:firstLineChars="200"/>
        <w:jc w:val="right"/>
        <w:rPr>
          <w:rFonts w:hint="eastAsia" w:ascii="宋体" w:hAnsi="宋体" w:eastAsia="宋体" w:cs="宋体"/>
          <w:color w:val="auto"/>
          <w:sz w:val="28"/>
          <w:highlight w:val="none"/>
        </w:rPr>
        <w:sectPr>
          <w:pgSz w:w="11905" w:h="16838"/>
          <w:pgMar w:top="1474" w:right="1474" w:bottom="1474" w:left="1474" w:header="799" w:footer="907" w:gutter="0"/>
          <w:cols w:space="0" w:num="1"/>
          <w:rtlGutter w:val="0"/>
          <w:docGrid w:linePitch="326" w:charSpace="0"/>
        </w:sectPr>
      </w:pPr>
    </w:p>
    <w:p>
      <w:pPr>
        <w:spacing w:before="120" w:line="180" w:lineRule="auto"/>
        <w:ind w:firstLine="3559"/>
        <w:rPr>
          <w:rFonts w:hint="eastAsia" w:ascii="宋体" w:hAnsi="宋体" w:eastAsia="宋体" w:cs="宋体"/>
          <w:color w:val="auto"/>
          <w:sz w:val="28"/>
          <w:szCs w:val="28"/>
          <w:highlight w:val="none"/>
        </w:rPr>
      </w:pPr>
      <w:r>
        <w:rPr>
          <w:rFonts w:hint="eastAsia" w:ascii="宋体" w:hAnsi="宋体" w:eastAsia="宋体" w:cs="宋体"/>
          <w:b/>
          <w:bCs/>
          <w:color w:val="auto"/>
          <w:spacing w:val="-1"/>
          <w:sz w:val="28"/>
          <w:szCs w:val="28"/>
          <w:highlight w:val="none"/>
        </w:rPr>
        <w:t>投标报价明细表</w:t>
      </w:r>
    </w:p>
    <w:p>
      <w:pPr>
        <w:rPr>
          <w:rFonts w:hint="eastAsia" w:ascii="宋体" w:hAnsi="宋体" w:eastAsia="宋体" w:cs="宋体"/>
          <w:color w:val="auto"/>
          <w:highlight w:val="none"/>
        </w:rPr>
      </w:pPr>
    </w:p>
    <w:p>
      <w:pPr>
        <w:spacing w:line="26" w:lineRule="exact"/>
        <w:rPr>
          <w:rFonts w:hint="eastAsia" w:ascii="宋体" w:hAnsi="宋体" w:eastAsia="宋体" w:cs="宋体"/>
          <w:color w:val="auto"/>
          <w:highlight w:val="none"/>
        </w:rPr>
      </w:pPr>
    </w:p>
    <w:tbl>
      <w:tblPr>
        <w:tblStyle w:val="42"/>
        <w:tblW w:w="89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916"/>
        <w:gridCol w:w="1111"/>
        <w:gridCol w:w="1547"/>
        <w:gridCol w:w="1024"/>
        <w:gridCol w:w="1010"/>
        <w:gridCol w:w="1025"/>
        <w:gridCol w:w="161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710" w:type="dxa"/>
            <w:vAlign w:val="top"/>
          </w:tcPr>
          <w:p>
            <w:pPr>
              <w:spacing w:before="180" w:line="186" w:lineRule="auto"/>
              <w:ind w:firstLine="20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序号</w:t>
            </w:r>
          </w:p>
        </w:tc>
        <w:tc>
          <w:tcPr>
            <w:tcW w:w="916" w:type="dxa"/>
            <w:vAlign w:val="top"/>
          </w:tcPr>
          <w:p>
            <w:pPr>
              <w:spacing w:before="180" w:line="186" w:lineRule="auto"/>
              <w:ind w:firstLine="30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建筑</w:t>
            </w:r>
          </w:p>
        </w:tc>
        <w:tc>
          <w:tcPr>
            <w:tcW w:w="1111" w:type="dxa"/>
            <w:vAlign w:val="top"/>
          </w:tcPr>
          <w:p>
            <w:pPr>
              <w:spacing w:before="180" w:line="186" w:lineRule="auto"/>
              <w:ind w:firstLine="21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电梯类型</w:t>
            </w:r>
          </w:p>
        </w:tc>
        <w:tc>
          <w:tcPr>
            <w:tcW w:w="1547" w:type="dxa"/>
            <w:vAlign w:val="top"/>
          </w:tcPr>
          <w:p>
            <w:pPr>
              <w:spacing w:before="137" w:line="186" w:lineRule="auto"/>
              <w:ind w:firstLine="35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规格参数</w:t>
            </w:r>
          </w:p>
        </w:tc>
        <w:tc>
          <w:tcPr>
            <w:tcW w:w="1024" w:type="dxa"/>
            <w:vAlign w:val="top"/>
          </w:tcPr>
          <w:p>
            <w:pPr>
              <w:spacing w:before="148" w:line="185" w:lineRule="auto"/>
              <w:ind w:firstLine="2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单位</w:t>
            </w:r>
          </w:p>
        </w:tc>
        <w:tc>
          <w:tcPr>
            <w:tcW w:w="1010" w:type="dxa"/>
            <w:vAlign w:val="top"/>
          </w:tcPr>
          <w:p>
            <w:pPr>
              <w:spacing w:before="148" w:line="185"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数量</w:t>
            </w:r>
          </w:p>
        </w:tc>
        <w:tc>
          <w:tcPr>
            <w:tcW w:w="1025" w:type="dxa"/>
            <w:vAlign w:val="top"/>
          </w:tcPr>
          <w:p>
            <w:pPr>
              <w:spacing w:before="148" w:line="185" w:lineRule="auto"/>
              <w:ind w:firstLine="15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单价</w:t>
            </w:r>
          </w:p>
        </w:tc>
        <w:tc>
          <w:tcPr>
            <w:tcW w:w="1617" w:type="dxa"/>
            <w:vAlign w:val="top"/>
          </w:tcPr>
          <w:p>
            <w:pPr>
              <w:spacing w:before="148" w:line="185" w:lineRule="auto"/>
              <w:ind w:firstLine="1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6" w:hRule="atLeast"/>
        </w:trPr>
        <w:tc>
          <w:tcPr>
            <w:tcW w:w="8960" w:type="dxa"/>
            <w:gridSpan w:val="8"/>
            <w:vAlign w:val="top"/>
          </w:tcPr>
          <w:p>
            <w:pPr>
              <w:spacing w:before="141" w:line="185" w:lineRule="auto"/>
              <w:ind w:firstLine="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一、电梯费用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32" w:hRule="atLeast"/>
        </w:trPr>
        <w:tc>
          <w:tcPr>
            <w:tcW w:w="710" w:type="dxa"/>
            <w:vAlign w:val="top"/>
          </w:tcPr>
          <w:p>
            <w:pPr>
              <w:spacing w:before="293" w:line="180" w:lineRule="auto"/>
              <w:ind w:firstLine="371"/>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916" w:type="dxa"/>
            <w:vAlign w:val="top"/>
          </w:tcPr>
          <w:p>
            <w:pPr>
              <w:spacing w:before="188" w:line="186" w:lineRule="auto"/>
              <w:ind w:firstLine="272"/>
              <w:rPr>
                <w:rFonts w:hint="eastAsia" w:ascii="宋体" w:hAnsi="宋体" w:eastAsia="宋体" w:cs="宋体"/>
                <w:color w:val="auto"/>
                <w:sz w:val="21"/>
                <w:szCs w:val="21"/>
                <w:highlight w:val="none"/>
              </w:rPr>
            </w:pPr>
          </w:p>
        </w:tc>
        <w:tc>
          <w:tcPr>
            <w:tcW w:w="1111" w:type="dxa"/>
            <w:vAlign w:val="top"/>
          </w:tcPr>
          <w:p>
            <w:pPr>
              <w:spacing w:before="31" w:line="276" w:lineRule="auto"/>
              <w:ind w:left="197" w:right="133" w:hanging="59"/>
              <w:rPr>
                <w:rFonts w:hint="eastAsia" w:ascii="宋体" w:hAnsi="宋体" w:eastAsia="宋体" w:cs="宋体"/>
                <w:color w:val="auto"/>
                <w:sz w:val="21"/>
                <w:szCs w:val="21"/>
                <w:highlight w:val="none"/>
              </w:rPr>
            </w:pPr>
          </w:p>
        </w:tc>
        <w:tc>
          <w:tcPr>
            <w:tcW w:w="1547" w:type="dxa"/>
            <w:vAlign w:val="top"/>
          </w:tcPr>
          <w:p>
            <w:pPr>
              <w:rPr>
                <w:rFonts w:hint="eastAsia" w:ascii="宋体" w:hAnsi="宋体" w:eastAsia="宋体" w:cs="宋体"/>
                <w:color w:val="auto"/>
                <w:sz w:val="21"/>
                <w:highlight w:val="none"/>
              </w:rPr>
            </w:pPr>
          </w:p>
        </w:tc>
        <w:tc>
          <w:tcPr>
            <w:tcW w:w="1024" w:type="dxa"/>
            <w:vAlign w:val="top"/>
          </w:tcPr>
          <w:p>
            <w:pPr>
              <w:spacing w:before="258" w:line="186" w:lineRule="auto"/>
              <w:ind w:firstLine="478"/>
              <w:rPr>
                <w:rFonts w:hint="eastAsia" w:ascii="宋体" w:hAnsi="宋体" w:eastAsia="宋体" w:cs="宋体"/>
                <w:color w:val="auto"/>
                <w:sz w:val="21"/>
                <w:szCs w:val="21"/>
                <w:highlight w:val="none"/>
              </w:rPr>
            </w:pPr>
          </w:p>
        </w:tc>
        <w:tc>
          <w:tcPr>
            <w:tcW w:w="1010" w:type="dxa"/>
            <w:vAlign w:val="top"/>
          </w:tcPr>
          <w:p>
            <w:pPr>
              <w:spacing w:before="294" w:line="180" w:lineRule="auto"/>
              <w:ind w:firstLine="403"/>
              <w:rPr>
                <w:rFonts w:hint="eastAsia" w:ascii="宋体" w:hAnsi="宋体" w:eastAsia="宋体" w:cs="宋体"/>
                <w:color w:val="auto"/>
                <w:sz w:val="21"/>
                <w:szCs w:val="21"/>
                <w:highlight w:val="none"/>
              </w:rPr>
            </w:pPr>
          </w:p>
        </w:tc>
        <w:tc>
          <w:tcPr>
            <w:tcW w:w="1025" w:type="dxa"/>
            <w:vAlign w:val="top"/>
          </w:tcPr>
          <w:p>
            <w:pPr>
              <w:rPr>
                <w:rFonts w:hint="eastAsia" w:ascii="宋体" w:hAnsi="宋体" w:eastAsia="宋体" w:cs="宋体"/>
                <w:color w:val="auto"/>
                <w:sz w:val="21"/>
                <w:highlight w:val="none"/>
              </w:rPr>
            </w:pPr>
          </w:p>
        </w:tc>
        <w:tc>
          <w:tcPr>
            <w:tcW w:w="1617" w:type="dxa"/>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710" w:type="dxa"/>
            <w:vAlign w:val="top"/>
          </w:tcPr>
          <w:p>
            <w:pPr>
              <w:spacing w:before="292" w:line="180" w:lineRule="auto"/>
              <w:ind w:firstLine="358"/>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916" w:type="dxa"/>
            <w:vAlign w:val="top"/>
          </w:tcPr>
          <w:p>
            <w:pPr>
              <w:spacing w:before="187" w:line="186" w:lineRule="auto"/>
              <w:ind w:firstLine="272"/>
              <w:rPr>
                <w:rFonts w:hint="eastAsia" w:ascii="宋体" w:hAnsi="宋体" w:eastAsia="宋体" w:cs="宋体"/>
                <w:color w:val="auto"/>
                <w:sz w:val="21"/>
                <w:szCs w:val="21"/>
                <w:highlight w:val="none"/>
              </w:rPr>
            </w:pPr>
          </w:p>
        </w:tc>
        <w:tc>
          <w:tcPr>
            <w:tcW w:w="1111" w:type="dxa"/>
            <w:vAlign w:val="top"/>
          </w:tcPr>
          <w:p>
            <w:pPr>
              <w:spacing w:before="100" w:line="186" w:lineRule="auto"/>
              <w:ind w:firstLine="85"/>
              <w:rPr>
                <w:rFonts w:hint="eastAsia" w:ascii="宋体" w:hAnsi="宋体" w:eastAsia="宋体" w:cs="宋体"/>
                <w:color w:val="auto"/>
                <w:sz w:val="21"/>
                <w:szCs w:val="21"/>
                <w:highlight w:val="none"/>
              </w:rPr>
            </w:pPr>
          </w:p>
        </w:tc>
        <w:tc>
          <w:tcPr>
            <w:tcW w:w="1547" w:type="dxa"/>
            <w:vAlign w:val="top"/>
          </w:tcPr>
          <w:p>
            <w:pPr>
              <w:rPr>
                <w:rFonts w:hint="eastAsia" w:ascii="宋体" w:hAnsi="宋体" w:eastAsia="宋体" w:cs="宋体"/>
                <w:color w:val="auto"/>
                <w:sz w:val="21"/>
                <w:highlight w:val="none"/>
              </w:rPr>
            </w:pPr>
          </w:p>
        </w:tc>
        <w:tc>
          <w:tcPr>
            <w:tcW w:w="1024" w:type="dxa"/>
            <w:vAlign w:val="top"/>
          </w:tcPr>
          <w:p>
            <w:pPr>
              <w:spacing w:before="256" w:line="186" w:lineRule="auto"/>
              <w:ind w:firstLine="478"/>
              <w:rPr>
                <w:rFonts w:hint="eastAsia" w:ascii="宋体" w:hAnsi="宋体" w:eastAsia="宋体" w:cs="宋体"/>
                <w:color w:val="auto"/>
                <w:sz w:val="21"/>
                <w:szCs w:val="21"/>
                <w:highlight w:val="none"/>
              </w:rPr>
            </w:pPr>
          </w:p>
        </w:tc>
        <w:tc>
          <w:tcPr>
            <w:tcW w:w="1010" w:type="dxa"/>
            <w:vAlign w:val="top"/>
          </w:tcPr>
          <w:p>
            <w:pPr>
              <w:spacing w:before="291" w:line="180" w:lineRule="auto"/>
              <w:ind w:firstLine="416"/>
              <w:rPr>
                <w:rFonts w:hint="eastAsia" w:ascii="宋体" w:hAnsi="宋体" w:eastAsia="宋体" w:cs="宋体"/>
                <w:color w:val="auto"/>
                <w:sz w:val="21"/>
                <w:szCs w:val="21"/>
                <w:highlight w:val="none"/>
              </w:rPr>
            </w:pPr>
          </w:p>
        </w:tc>
        <w:tc>
          <w:tcPr>
            <w:tcW w:w="1025" w:type="dxa"/>
            <w:vAlign w:val="top"/>
          </w:tcPr>
          <w:p>
            <w:pPr>
              <w:rPr>
                <w:rFonts w:hint="eastAsia" w:ascii="宋体" w:hAnsi="宋体" w:eastAsia="宋体" w:cs="宋体"/>
                <w:color w:val="auto"/>
                <w:sz w:val="21"/>
                <w:highlight w:val="none"/>
              </w:rPr>
            </w:pPr>
          </w:p>
        </w:tc>
        <w:tc>
          <w:tcPr>
            <w:tcW w:w="1617" w:type="dxa"/>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32" w:hRule="atLeast"/>
        </w:trPr>
        <w:tc>
          <w:tcPr>
            <w:tcW w:w="710" w:type="dxa"/>
            <w:vAlign w:val="top"/>
          </w:tcPr>
          <w:p>
            <w:pPr>
              <w:spacing w:before="296" w:line="18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916" w:type="dxa"/>
            <w:vAlign w:val="top"/>
          </w:tcPr>
          <w:p>
            <w:pPr>
              <w:spacing w:before="190" w:line="186" w:lineRule="auto"/>
              <w:ind w:firstLine="270"/>
              <w:rPr>
                <w:rFonts w:hint="eastAsia" w:ascii="宋体" w:hAnsi="宋体" w:eastAsia="宋体" w:cs="宋体"/>
                <w:color w:val="auto"/>
                <w:sz w:val="21"/>
                <w:szCs w:val="21"/>
                <w:highlight w:val="none"/>
              </w:rPr>
            </w:pPr>
          </w:p>
        </w:tc>
        <w:tc>
          <w:tcPr>
            <w:tcW w:w="1111" w:type="dxa"/>
            <w:vAlign w:val="top"/>
          </w:tcPr>
          <w:p>
            <w:pPr>
              <w:spacing w:before="33" w:line="276" w:lineRule="auto"/>
              <w:ind w:left="197" w:right="133" w:hanging="59"/>
              <w:rPr>
                <w:rFonts w:hint="eastAsia" w:ascii="宋体" w:hAnsi="宋体" w:eastAsia="宋体" w:cs="宋体"/>
                <w:color w:val="auto"/>
                <w:sz w:val="21"/>
                <w:szCs w:val="21"/>
                <w:highlight w:val="none"/>
              </w:rPr>
            </w:pPr>
          </w:p>
        </w:tc>
        <w:tc>
          <w:tcPr>
            <w:tcW w:w="1547" w:type="dxa"/>
            <w:vAlign w:val="top"/>
          </w:tcPr>
          <w:p>
            <w:pPr>
              <w:rPr>
                <w:rFonts w:hint="eastAsia" w:ascii="宋体" w:hAnsi="宋体" w:eastAsia="宋体" w:cs="宋体"/>
                <w:color w:val="auto"/>
                <w:sz w:val="21"/>
                <w:highlight w:val="none"/>
              </w:rPr>
            </w:pPr>
          </w:p>
        </w:tc>
        <w:tc>
          <w:tcPr>
            <w:tcW w:w="1024" w:type="dxa"/>
            <w:vAlign w:val="top"/>
          </w:tcPr>
          <w:p>
            <w:pPr>
              <w:spacing w:before="259" w:line="186" w:lineRule="auto"/>
              <w:ind w:firstLine="478"/>
              <w:rPr>
                <w:rFonts w:hint="eastAsia" w:ascii="宋体" w:hAnsi="宋体" w:eastAsia="宋体" w:cs="宋体"/>
                <w:color w:val="auto"/>
                <w:sz w:val="21"/>
                <w:szCs w:val="21"/>
                <w:highlight w:val="none"/>
              </w:rPr>
            </w:pPr>
          </w:p>
        </w:tc>
        <w:tc>
          <w:tcPr>
            <w:tcW w:w="1010" w:type="dxa"/>
            <w:vAlign w:val="top"/>
          </w:tcPr>
          <w:p>
            <w:pPr>
              <w:spacing w:before="296" w:line="180" w:lineRule="auto"/>
              <w:ind w:firstLine="403"/>
              <w:rPr>
                <w:rFonts w:hint="eastAsia" w:ascii="宋体" w:hAnsi="宋体" w:eastAsia="宋体" w:cs="宋体"/>
                <w:color w:val="auto"/>
                <w:sz w:val="21"/>
                <w:szCs w:val="21"/>
                <w:highlight w:val="none"/>
              </w:rPr>
            </w:pPr>
          </w:p>
        </w:tc>
        <w:tc>
          <w:tcPr>
            <w:tcW w:w="1025" w:type="dxa"/>
            <w:vAlign w:val="top"/>
          </w:tcPr>
          <w:p>
            <w:pPr>
              <w:rPr>
                <w:rFonts w:hint="eastAsia" w:ascii="宋体" w:hAnsi="宋体" w:eastAsia="宋体" w:cs="宋体"/>
                <w:color w:val="auto"/>
                <w:sz w:val="21"/>
                <w:highlight w:val="none"/>
              </w:rPr>
            </w:pPr>
          </w:p>
        </w:tc>
        <w:tc>
          <w:tcPr>
            <w:tcW w:w="1617" w:type="dxa"/>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960" w:type="dxa"/>
            <w:gridSpan w:val="8"/>
            <w:vAlign w:val="top"/>
          </w:tcPr>
          <w:p>
            <w:pPr>
              <w:spacing w:before="14" w:line="192" w:lineRule="auto"/>
              <w:ind w:firstLine="12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二、安装费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710" w:type="dxa"/>
            <w:vAlign w:val="top"/>
          </w:tcPr>
          <w:p>
            <w:pPr>
              <w:spacing w:before="296" w:line="180" w:lineRule="auto"/>
              <w:ind w:firstLine="37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16" w:type="dxa"/>
            <w:vAlign w:val="top"/>
          </w:tcPr>
          <w:p>
            <w:pPr>
              <w:spacing w:before="189" w:line="186" w:lineRule="auto"/>
              <w:ind w:firstLine="272"/>
              <w:rPr>
                <w:rFonts w:hint="eastAsia" w:ascii="宋体" w:hAnsi="宋体" w:eastAsia="宋体" w:cs="宋体"/>
                <w:color w:val="auto"/>
                <w:sz w:val="21"/>
                <w:szCs w:val="21"/>
                <w:highlight w:val="none"/>
              </w:rPr>
            </w:pPr>
          </w:p>
        </w:tc>
        <w:tc>
          <w:tcPr>
            <w:tcW w:w="1111" w:type="dxa"/>
            <w:vAlign w:val="top"/>
          </w:tcPr>
          <w:p>
            <w:pPr>
              <w:spacing w:before="34" w:line="276" w:lineRule="auto"/>
              <w:ind w:left="197" w:right="133" w:hanging="59"/>
              <w:rPr>
                <w:rFonts w:hint="eastAsia" w:ascii="宋体" w:hAnsi="宋体" w:eastAsia="宋体" w:cs="宋体"/>
                <w:color w:val="auto"/>
                <w:sz w:val="21"/>
                <w:szCs w:val="21"/>
                <w:highlight w:val="none"/>
              </w:rPr>
            </w:pPr>
          </w:p>
        </w:tc>
        <w:tc>
          <w:tcPr>
            <w:tcW w:w="1547" w:type="dxa"/>
            <w:vAlign w:val="top"/>
          </w:tcPr>
          <w:p>
            <w:pPr>
              <w:rPr>
                <w:rFonts w:hint="eastAsia" w:ascii="宋体" w:hAnsi="宋体" w:eastAsia="宋体" w:cs="宋体"/>
                <w:color w:val="auto"/>
                <w:sz w:val="21"/>
                <w:highlight w:val="none"/>
              </w:rPr>
            </w:pPr>
          </w:p>
        </w:tc>
        <w:tc>
          <w:tcPr>
            <w:tcW w:w="1024" w:type="dxa"/>
            <w:vAlign w:val="top"/>
          </w:tcPr>
          <w:p>
            <w:pPr>
              <w:spacing w:before="261" w:line="186" w:lineRule="auto"/>
              <w:ind w:firstLine="478"/>
              <w:rPr>
                <w:rFonts w:hint="eastAsia" w:ascii="宋体" w:hAnsi="宋体" w:eastAsia="宋体" w:cs="宋体"/>
                <w:color w:val="auto"/>
                <w:sz w:val="21"/>
                <w:szCs w:val="21"/>
                <w:highlight w:val="none"/>
              </w:rPr>
            </w:pPr>
          </w:p>
        </w:tc>
        <w:tc>
          <w:tcPr>
            <w:tcW w:w="1010" w:type="dxa"/>
            <w:vAlign w:val="top"/>
          </w:tcPr>
          <w:p>
            <w:pPr>
              <w:spacing w:before="297" w:line="180" w:lineRule="auto"/>
              <w:ind w:firstLine="403"/>
              <w:rPr>
                <w:rFonts w:hint="eastAsia" w:ascii="宋体" w:hAnsi="宋体" w:eastAsia="宋体" w:cs="宋体"/>
                <w:color w:val="auto"/>
                <w:sz w:val="21"/>
                <w:szCs w:val="21"/>
                <w:highlight w:val="none"/>
              </w:rPr>
            </w:pPr>
          </w:p>
        </w:tc>
        <w:tc>
          <w:tcPr>
            <w:tcW w:w="1025" w:type="dxa"/>
            <w:vAlign w:val="top"/>
          </w:tcPr>
          <w:p>
            <w:pPr>
              <w:rPr>
                <w:rFonts w:hint="eastAsia" w:ascii="宋体" w:hAnsi="宋体" w:eastAsia="宋体" w:cs="宋体"/>
                <w:color w:val="auto"/>
                <w:sz w:val="21"/>
                <w:highlight w:val="none"/>
              </w:rPr>
            </w:pPr>
          </w:p>
        </w:tc>
        <w:tc>
          <w:tcPr>
            <w:tcW w:w="1617" w:type="dxa"/>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32" w:hRule="atLeast"/>
        </w:trPr>
        <w:tc>
          <w:tcPr>
            <w:tcW w:w="710" w:type="dxa"/>
            <w:vAlign w:val="top"/>
          </w:tcPr>
          <w:p>
            <w:pPr>
              <w:spacing w:before="297" w:line="180" w:lineRule="auto"/>
              <w:ind w:firstLine="36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c>
          <w:tcPr>
            <w:tcW w:w="916" w:type="dxa"/>
            <w:vAlign w:val="top"/>
          </w:tcPr>
          <w:p>
            <w:pPr>
              <w:spacing w:before="191" w:line="186" w:lineRule="auto"/>
              <w:ind w:firstLine="272"/>
              <w:rPr>
                <w:rFonts w:hint="eastAsia" w:ascii="宋体" w:hAnsi="宋体" w:eastAsia="宋体" w:cs="宋体"/>
                <w:color w:val="auto"/>
                <w:sz w:val="21"/>
                <w:szCs w:val="21"/>
                <w:highlight w:val="none"/>
              </w:rPr>
            </w:pPr>
          </w:p>
        </w:tc>
        <w:tc>
          <w:tcPr>
            <w:tcW w:w="1111" w:type="dxa"/>
            <w:vAlign w:val="top"/>
          </w:tcPr>
          <w:p>
            <w:pPr>
              <w:spacing w:before="100" w:line="186" w:lineRule="auto"/>
              <w:ind w:firstLine="85"/>
              <w:rPr>
                <w:rFonts w:hint="eastAsia" w:ascii="宋体" w:hAnsi="宋体" w:eastAsia="宋体" w:cs="宋体"/>
                <w:color w:val="auto"/>
                <w:sz w:val="21"/>
                <w:szCs w:val="21"/>
                <w:highlight w:val="none"/>
              </w:rPr>
            </w:pPr>
          </w:p>
        </w:tc>
        <w:tc>
          <w:tcPr>
            <w:tcW w:w="1547" w:type="dxa"/>
            <w:vAlign w:val="top"/>
          </w:tcPr>
          <w:p>
            <w:pPr>
              <w:rPr>
                <w:rFonts w:hint="eastAsia" w:ascii="宋体" w:hAnsi="宋体" w:eastAsia="宋体" w:cs="宋体"/>
                <w:color w:val="auto"/>
                <w:sz w:val="21"/>
                <w:highlight w:val="none"/>
              </w:rPr>
            </w:pPr>
          </w:p>
        </w:tc>
        <w:tc>
          <w:tcPr>
            <w:tcW w:w="1024" w:type="dxa"/>
            <w:vAlign w:val="top"/>
          </w:tcPr>
          <w:p>
            <w:pPr>
              <w:spacing w:before="261" w:line="186" w:lineRule="auto"/>
              <w:ind w:firstLine="478"/>
              <w:rPr>
                <w:rFonts w:hint="eastAsia" w:ascii="宋体" w:hAnsi="宋体" w:eastAsia="宋体" w:cs="宋体"/>
                <w:color w:val="auto"/>
                <w:sz w:val="21"/>
                <w:szCs w:val="21"/>
                <w:highlight w:val="none"/>
              </w:rPr>
            </w:pPr>
          </w:p>
        </w:tc>
        <w:tc>
          <w:tcPr>
            <w:tcW w:w="1010" w:type="dxa"/>
            <w:vAlign w:val="top"/>
          </w:tcPr>
          <w:p>
            <w:pPr>
              <w:spacing w:before="296" w:line="180" w:lineRule="auto"/>
              <w:ind w:firstLine="416"/>
              <w:rPr>
                <w:rFonts w:hint="eastAsia" w:ascii="宋体" w:hAnsi="宋体" w:eastAsia="宋体" w:cs="宋体"/>
                <w:color w:val="auto"/>
                <w:sz w:val="21"/>
                <w:szCs w:val="21"/>
                <w:highlight w:val="none"/>
              </w:rPr>
            </w:pPr>
          </w:p>
        </w:tc>
        <w:tc>
          <w:tcPr>
            <w:tcW w:w="1025" w:type="dxa"/>
            <w:vAlign w:val="top"/>
          </w:tcPr>
          <w:p>
            <w:pPr>
              <w:rPr>
                <w:rFonts w:hint="eastAsia" w:ascii="宋体" w:hAnsi="宋体" w:eastAsia="宋体" w:cs="宋体"/>
                <w:color w:val="auto"/>
                <w:sz w:val="21"/>
                <w:highlight w:val="none"/>
              </w:rPr>
            </w:pPr>
          </w:p>
        </w:tc>
        <w:tc>
          <w:tcPr>
            <w:tcW w:w="1617" w:type="dxa"/>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710" w:type="dxa"/>
            <w:vAlign w:val="top"/>
          </w:tcPr>
          <w:p>
            <w:pPr>
              <w:spacing w:before="298" w:line="1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p>
        </w:tc>
        <w:tc>
          <w:tcPr>
            <w:tcW w:w="916" w:type="dxa"/>
            <w:vAlign w:val="top"/>
          </w:tcPr>
          <w:p>
            <w:pPr>
              <w:spacing w:before="190" w:line="186" w:lineRule="auto"/>
              <w:ind w:firstLine="270"/>
              <w:rPr>
                <w:rFonts w:hint="eastAsia" w:ascii="宋体" w:hAnsi="宋体" w:eastAsia="宋体" w:cs="宋体"/>
                <w:color w:val="auto"/>
                <w:sz w:val="21"/>
                <w:szCs w:val="21"/>
                <w:highlight w:val="none"/>
              </w:rPr>
            </w:pPr>
          </w:p>
        </w:tc>
        <w:tc>
          <w:tcPr>
            <w:tcW w:w="1111" w:type="dxa"/>
            <w:vAlign w:val="top"/>
          </w:tcPr>
          <w:p>
            <w:pPr>
              <w:spacing w:before="35" w:line="276" w:lineRule="auto"/>
              <w:ind w:left="197" w:right="133" w:hanging="59"/>
              <w:rPr>
                <w:rFonts w:hint="eastAsia" w:ascii="宋体" w:hAnsi="宋体" w:eastAsia="宋体" w:cs="宋体"/>
                <w:color w:val="auto"/>
                <w:sz w:val="21"/>
                <w:szCs w:val="21"/>
                <w:highlight w:val="none"/>
              </w:rPr>
            </w:pPr>
          </w:p>
        </w:tc>
        <w:tc>
          <w:tcPr>
            <w:tcW w:w="1547" w:type="dxa"/>
            <w:vAlign w:val="top"/>
          </w:tcPr>
          <w:p>
            <w:pPr>
              <w:rPr>
                <w:rFonts w:hint="eastAsia" w:ascii="宋体" w:hAnsi="宋体" w:eastAsia="宋体" w:cs="宋体"/>
                <w:color w:val="auto"/>
                <w:sz w:val="21"/>
                <w:highlight w:val="none"/>
              </w:rPr>
            </w:pPr>
          </w:p>
        </w:tc>
        <w:tc>
          <w:tcPr>
            <w:tcW w:w="1024" w:type="dxa"/>
            <w:vAlign w:val="top"/>
          </w:tcPr>
          <w:p>
            <w:pPr>
              <w:spacing w:before="262" w:line="186" w:lineRule="auto"/>
              <w:ind w:firstLine="478"/>
              <w:rPr>
                <w:rFonts w:hint="eastAsia" w:ascii="宋体" w:hAnsi="宋体" w:eastAsia="宋体" w:cs="宋体"/>
                <w:color w:val="auto"/>
                <w:sz w:val="21"/>
                <w:szCs w:val="21"/>
                <w:highlight w:val="none"/>
              </w:rPr>
            </w:pPr>
          </w:p>
        </w:tc>
        <w:tc>
          <w:tcPr>
            <w:tcW w:w="1010" w:type="dxa"/>
            <w:vAlign w:val="top"/>
          </w:tcPr>
          <w:p>
            <w:pPr>
              <w:spacing w:before="298" w:line="180" w:lineRule="auto"/>
              <w:ind w:firstLine="403"/>
              <w:rPr>
                <w:rFonts w:hint="eastAsia" w:ascii="宋体" w:hAnsi="宋体" w:eastAsia="宋体" w:cs="宋体"/>
                <w:color w:val="auto"/>
                <w:sz w:val="21"/>
                <w:szCs w:val="21"/>
                <w:highlight w:val="none"/>
              </w:rPr>
            </w:pPr>
          </w:p>
        </w:tc>
        <w:tc>
          <w:tcPr>
            <w:tcW w:w="1025" w:type="dxa"/>
            <w:vAlign w:val="top"/>
          </w:tcPr>
          <w:p>
            <w:pPr>
              <w:rPr>
                <w:rFonts w:hint="eastAsia" w:ascii="宋体" w:hAnsi="宋体" w:eastAsia="宋体" w:cs="宋体"/>
                <w:color w:val="auto"/>
                <w:sz w:val="21"/>
                <w:highlight w:val="none"/>
              </w:rPr>
            </w:pPr>
          </w:p>
        </w:tc>
        <w:tc>
          <w:tcPr>
            <w:tcW w:w="1617" w:type="dxa"/>
            <w:vAlign w:val="top"/>
          </w:tcPr>
          <w:p>
            <w:pPr>
              <w:rPr>
                <w:rFonts w:hint="eastAsia" w:ascii="宋体" w:hAnsi="宋体" w:eastAsia="宋体" w:cs="宋体"/>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16" w:hRule="atLeast"/>
        </w:trPr>
        <w:tc>
          <w:tcPr>
            <w:tcW w:w="8960" w:type="dxa"/>
            <w:gridSpan w:val="8"/>
            <w:vAlign w:val="top"/>
          </w:tcPr>
          <w:p>
            <w:pPr>
              <w:spacing w:before="86" w:line="185" w:lineRule="auto"/>
              <w:ind w:firstLine="124"/>
              <w:rPr>
                <w:rFonts w:hint="eastAsia" w:ascii="宋体" w:hAnsi="宋体" w:eastAsia="宋体" w:cs="宋体"/>
                <w:color w:val="auto"/>
                <w:sz w:val="22"/>
                <w:szCs w:val="22"/>
                <w:highlight w:val="none"/>
              </w:rPr>
            </w:pPr>
            <w:r>
              <w:rPr>
                <w:rFonts w:hint="eastAsia" w:ascii="宋体" w:hAnsi="宋体" w:eastAsia="宋体" w:cs="宋体"/>
                <w:color w:val="auto"/>
                <w:spacing w:val="-10"/>
                <w:w w:val="85"/>
                <w:sz w:val="24"/>
                <w:szCs w:val="24"/>
                <w:highlight w:val="none"/>
              </w:rPr>
              <w:t>总报价（一+</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0"/>
                <w:w w:val="85"/>
                <w:sz w:val="24"/>
                <w:szCs w:val="24"/>
                <w:highlight w:val="none"/>
              </w:rPr>
              <w:t>二</w:t>
            </w:r>
            <w:r>
              <w:rPr>
                <w:rFonts w:hint="eastAsia" w:ascii="宋体" w:hAnsi="宋体" w:eastAsia="宋体" w:cs="宋体"/>
                <w:color w:val="auto"/>
                <w:spacing w:val="-61"/>
                <w:sz w:val="24"/>
                <w:szCs w:val="24"/>
                <w:highlight w:val="none"/>
              </w:rPr>
              <w:t>）</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1"/>
                <w:sz w:val="24"/>
                <w:szCs w:val="24"/>
                <w:highlight w:val="none"/>
              </w:rPr>
              <w:t>：</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61"/>
                <w:sz w:val="24"/>
                <w:szCs w:val="24"/>
                <w:highlight w:val="none"/>
              </w:rPr>
              <w:t>（</w:t>
            </w:r>
            <w:r>
              <w:rPr>
                <w:rFonts w:hint="eastAsia" w:ascii="宋体" w:hAnsi="宋体" w:eastAsia="宋体" w:cs="宋体"/>
                <w:color w:val="auto"/>
                <w:spacing w:val="-10"/>
                <w:w w:val="85"/>
                <w:sz w:val="24"/>
                <w:szCs w:val="24"/>
                <w:highlight w:val="none"/>
              </w:rPr>
              <w:t>大写）</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0"/>
                <w:w w:val="85"/>
                <w:sz w:val="22"/>
                <w:szCs w:val="22"/>
                <w:highlight w:val="none"/>
              </w:rPr>
              <w:t>￥</w:t>
            </w:r>
            <w:r>
              <w:rPr>
                <w:rFonts w:hint="eastAsia" w:ascii="宋体" w:hAnsi="宋体" w:eastAsia="宋体" w:cs="宋体"/>
                <w:color w:val="auto"/>
                <w:spacing w:val="-61"/>
                <w:sz w:val="22"/>
                <w:szCs w:val="22"/>
                <w:highlight w:val="none"/>
              </w:rPr>
              <w:t>：</w:t>
            </w:r>
            <w:r>
              <w:rPr>
                <w:rFonts w:hint="eastAsia" w:ascii="宋体" w:hAnsi="宋体" w:eastAsia="宋体" w:cs="宋体"/>
                <w:color w:val="auto"/>
                <w:spacing w:val="29"/>
                <w:sz w:val="22"/>
                <w:szCs w:val="22"/>
                <w:highlight w:val="none"/>
              </w:rPr>
              <w:t xml:space="preserve"> </w:t>
            </w:r>
            <w:r>
              <w:rPr>
                <w:rFonts w:hint="eastAsia" w:ascii="宋体" w:hAnsi="宋体" w:eastAsia="宋体" w:cs="宋体"/>
                <w:color w:val="auto"/>
                <w:spacing w:val="-61"/>
                <w:sz w:val="22"/>
                <w:szCs w:val="22"/>
                <w:highlight w:val="none"/>
              </w:rPr>
              <w:t>（</w:t>
            </w:r>
            <w:r>
              <w:rPr>
                <w:rFonts w:hint="eastAsia" w:ascii="宋体" w:hAnsi="宋体" w:eastAsia="宋体" w:cs="宋体"/>
                <w:color w:val="auto"/>
                <w:spacing w:val="-10"/>
                <w:w w:val="85"/>
                <w:sz w:val="22"/>
                <w:szCs w:val="22"/>
                <w:highlight w:val="none"/>
              </w:rPr>
              <w:t>小写）</w:t>
            </w:r>
          </w:p>
        </w:tc>
      </w:tr>
    </w:tbl>
    <w:p>
      <w:pPr>
        <w:spacing w:before="29" w:line="186" w:lineRule="auto"/>
        <w:ind w:firstLine="4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pacing w:val="-7"/>
          <w:sz w:val="24"/>
          <w:szCs w:val="24"/>
          <w:highlight w:val="none"/>
        </w:rPr>
        <w:t>说  明： 投标报价中，货物价格与货物安装价格须分别分开填写。</w:t>
      </w:r>
    </w:p>
    <w:p>
      <w:pPr>
        <w:spacing w:before="305" w:line="185" w:lineRule="auto"/>
        <w:ind w:firstLine="53"/>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投</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9"/>
          <w:sz w:val="24"/>
          <w:szCs w:val="24"/>
          <w:highlight w:val="none"/>
        </w:rPr>
        <w:t>标</w:t>
      </w:r>
      <w:r>
        <w:rPr>
          <w:rFonts w:hint="eastAsia" w:ascii="宋体" w:hAnsi="宋体" w:eastAsia="宋体" w:cs="宋体"/>
          <w:color w:val="auto"/>
          <w:spacing w:val="11"/>
          <w:sz w:val="24"/>
          <w:szCs w:val="24"/>
          <w:highlight w:val="none"/>
        </w:rPr>
        <w:t xml:space="preserve"> </w:t>
      </w:r>
      <w:r>
        <w:rPr>
          <w:rFonts w:hint="eastAsia" w:ascii="宋体" w:hAnsi="宋体" w:eastAsia="宋体" w:cs="宋体"/>
          <w:color w:val="auto"/>
          <w:spacing w:val="-19"/>
          <w:sz w:val="24"/>
          <w:szCs w:val="24"/>
          <w:highlight w:val="none"/>
        </w:rPr>
        <w:t>人：</w:t>
      </w:r>
      <w:r>
        <w:rPr>
          <w:rFonts w:hint="eastAsia" w:ascii="宋体" w:hAnsi="宋体" w:eastAsia="宋体" w:cs="宋体"/>
          <w:color w:val="auto"/>
          <w:spacing w:val="19"/>
          <w:sz w:val="24"/>
          <w:szCs w:val="24"/>
          <w:highlight w:val="none"/>
          <w:u w:val="single" w:color="auto"/>
        </w:rPr>
        <w:t xml:space="preserve">   </w:t>
      </w:r>
      <w:r>
        <w:rPr>
          <w:rFonts w:hint="eastAsia" w:ascii="宋体" w:hAnsi="宋体" w:eastAsia="宋体" w:cs="宋体"/>
          <w:color w:val="auto"/>
          <w:spacing w:val="-19"/>
          <w:sz w:val="24"/>
          <w:szCs w:val="24"/>
          <w:highlight w:val="none"/>
          <w:u w:val="single" w:color="auto"/>
        </w:rPr>
        <w:t>名称</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19"/>
          <w:sz w:val="24"/>
          <w:szCs w:val="24"/>
          <w:highlight w:val="none"/>
          <w:u w:val="single" w:color="auto"/>
        </w:rPr>
        <w:t>（盖章</w:t>
      </w:r>
      <w:r>
        <w:rPr>
          <w:rFonts w:hint="eastAsia" w:ascii="宋体" w:hAnsi="宋体" w:eastAsia="宋体" w:cs="宋体"/>
          <w:color w:val="auto"/>
          <w:spacing w:val="-4"/>
          <w:sz w:val="24"/>
          <w:szCs w:val="24"/>
          <w:highlight w:val="none"/>
          <w:u w:val="single" w:color="auto"/>
        </w:rPr>
        <w:t>）（</w:t>
      </w:r>
      <w:r>
        <w:rPr>
          <w:rFonts w:hint="eastAsia" w:ascii="宋体" w:hAnsi="宋体" w:eastAsia="宋体" w:cs="宋体"/>
          <w:color w:val="auto"/>
          <w:spacing w:val="-19"/>
          <w:sz w:val="24"/>
          <w:szCs w:val="24"/>
          <w:highlight w:val="none"/>
          <w:u w:val="single" w:color="auto"/>
        </w:rPr>
        <w:t>电子投标文件中须盖单位电子印章）</w:t>
      </w:r>
      <w:r>
        <w:rPr>
          <w:rFonts w:hint="eastAsia" w:ascii="宋体" w:hAnsi="宋体" w:eastAsia="宋体" w:cs="宋体"/>
          <w:color w:val="auto"/>
          <w:sz w:val="24"/>
          <w:szCs w:val="24"/>
          <w:highlight w:val="none"/>
          <w:u w:val="single" w:color="auto"/>
        </w:rPr>
        <w:t xml:space="preserve">              </w:t>
      </w:r>
    </w:p>
    <w:p>
      <w:pPr>
        <w:spacing w:before="275" w:line="185" w:lineRule="auto"/>
        <w:ind w:firstLine="51"/>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法定代表人或其委托代理人</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2"/>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rPr>
        <w:t>（</w:t>
      </w:r>
      <w:r>
        <w:rPr>
          <w:rFonts w:hint="eastAsia" w:ascii="宋体" w:hAnsi="宋体" w:eastAsia="宋体" w:cs="宋体"/>
          <w:color w:val="auto"/>
          <w:spacing w:val="-14"/>
          <w:sz w:val="24"/>
          <w:szCs w:val="24"/>
          <w:highlight w:val="none"/>
          <w:u w:val="single" w:color="auto"/>
        </w:rPr>
        <w:t>签字或盖章</w:t>
      </w:r>
      <w:r>
        <w:rPr>
          <w:rFonts w:hint="eastAsia" w:ascii="宋体" w:hAnsi="宋体" w:eastAsia="宋体" w:cs="宋体"/>
          <w:color w:val="auto"/>
          <w:spacing w:val="-6"/>
          <w:sz w:val="24"/>
          <w:szCs w:val="24"/>
          <w:highlight w:val="none"/>
          <w:u w:val="single" w:color="auto"/>
        </w:rPr>
        <w:t>）（</w:t>
      </w:r>
      <w:r>
        <w:rPr>
          <w:rFonts w:hint="eastAsia" w:ascii="宋体" w:hAnsi="宋体" w:eastAsia="宋体" w:cs="宋体"/>
          <w:color w:val="auto"/>
          <w:spacing w:val="-14"/>
          <w:sz w:val="24"/>
          <w:szCs w:val="24"/>
          <w:highlight w:val="none"/>
          <w:u w:val="single" w:color="auto"/>
        </w:rPr>
        <w:t>电子投标文件中须盖电子印章）</w:t>
      </w:r>
      <w:r>
        <w:rPr>
          <w:rFonts w:hint="eastAsia" w:ascii="宋体" w:hAnsi="宋体" w:eastAsia="宋体" w:cs="宋体"/>
          <w:color w:val="auto"/>
          <w:sz w:val="24"/>
          <w:szCs w:val="24"/>
          <w:highlight w:val="none"/>
          <w:u w:val="single" w:color="auto"/>
        </w:rPr>
        <w:t xml:space="preserve">  </w:t>
      </w:r>
    </w:p>
    <w:p>
      <w:pPr>
        <w:spacing w:before="273" w:line="185" w:lineRule="auto"/>
        <w:ind w:firstLine="9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日期：年月日</w:t>
      </w:r>
    </w:p>
    <w:p>
      <w:pPr>
        <w:spacing w:line="258" w:lineRule="auto"/>
        <w:rPr>
          <w:rFonts w:hint="eastAsia" w:ascii="宋体" w:hAnsi="宋体" w:eastAsia="宋体" w:cs="宋体"/>
          <w:color w:val="auto"/>
          <w:sz w:val="21"/>
          <w:highlight w:val="none"/>
        </w:rPr>
      </w:pPr>
    </w:p>
    <w:p>
      <w:pPr>
        <w:pStyle w:val="43"/>
        <w:tabs>
          <w:tab w:val="left" w:pos="1003"/>
        </w:tabs>
        <w:spacing w:line="360" w:lineRule="auto"/>
        <w:ind w:left="0" w:firstLine="482" w:firstLineChars="200"/>
        <w:rPr>
          <w:rFonts w:hint="eastAsia" w:ascii="宋体" w:hAnsi="宋体" w:eastAsia="宋体" w:cs="宋体"/>
          <w:b/>
          <w:bCs/>
          <w:color w:val="auto"/>
          <w:sz w:val="24"/>
          <w:highlight w:val="none"/>
          <w:lang w:val="en-US"/>
        </w:rPr>
      </w:pPr>
    </w:p>
    <w:p>
      <w:pPr>
        <w:pStyle w:val="43"/>
        <w:tabs>
          <w:tab w:val="left" w:pos="1003"/>
        </w:tabs>
        <w:spacing w:line="360" w:lineRule="auto"/>
        <w:ind w:left="0" w:firstLine="480" w:firstLineChars="200"/>
        <w:rPr>
          <w:rFonts w:hint="eastAsia" w:ascii="宋体" w:hAnsi="宋体" w:eastAsia="宋体" w:cs="宋体"/>
          <w:color w:val="auto"/>
          <w:sz w:val="24"/>
          <w:highlight w:val="none"/>
          <w:lang w:val="en-US"/>
        </w:rPr>
      </w:pPr>
    </w:p>
    <w:p>
      <w:pPr>
        <w:pStyle w:val="43"/>
        <w:tabs>
          <w:tab w:val="left" w:pos="1003"/>
        </w:tabs>
        <w:spacing w:line="360" w:lineRule="auto"/>
        <w:ind w:left="0" w:firstLine="480" w:firstLineChars="200"/>
        <w:rPr>
          <w:rFonts w:hint="eastAsia" w:ascii="宋体" w:hAnsi="宋体" w:eastAsia="宋体" w:cs="宋体"/>
          <w:color w:val="auto"/>
          <w:sz w:val="24"/>
          <w:highlight w:val="none"/>
          <w:lang w:val="en-US"/>
        </w:rPr>
      </w:pPr>
    </w:p>
    <w:p>
      <w:pPr>
        <w:pStyle w:val="43"/>
        <w:tabs>
          <w:tab w:val="left" w:pos="1003"/>
        </w:tabs>
        <w:spacing w:line="360" w:lineRule="auto"/>
        <w:ind w:left="0" w:firstLine="480" w:firstLineChars="200"/>
        <w:rPr>
          <w:rFonts w:hint="eastAsia" w:ascii="宋体" w:hAnsi="宋体" w:eastAsia="宋体" w:cs="宋体"/>
          <w:color w:val="auto"/>
          <w:sz w:val="24"/>
          <w:highlight w:val="none"/>
          <w:lang w:val="en-US"/>
        </w:rPr>
        <w:sectPr>
          <w:pgSz w:w="11905" w:h="16838"/>
          <w:pgMar w:top="1474" w:right="1474" w:bottom="1474" w:left="1474" w:header="799" w:footer="907" w:gutter="0"/>
          <w:cols w:space="0" w:num="1"/>
          <w:rtlGutter w:val="0"/>
          <w:docGrid w:linePitch="326" w:charSpace="0"/>
        </w:sectPr>
      </w:pPr>
    </w:p>
    <w:p>
      <w:pPr>
        <w:keepNext w:val="0"/>
        <w:keepLines w:val="0"/>
        <w:pageBreakBefore w:val="0"/>
        <w:widowControl w:val="0"/>
        <w:kinsoku/>
        <w:wordWrap/>
        <w:overflowPunct/>
        <w:topLinePunct w:val="0"/>
        <w:autoSpaceDE w:val="0"/>
        <w:autoSpaceDN w:val="0"/>
        <w:bidi w:val="0"/>
        <w:adjustRightInd/>
        <w:snapToGrid/>
        <w:spacing w:before="105" w:line="185" w:lineRule="auto"/>
        <w:ind w:firstLine="1950"/>
        <w:textAlignment w:val="auto"/>
        <w:outlineLvl w:val="9"/>
        <w:rPr>
          <w:rFonts w:hint="eastAsia" w:ascii="宋体" w:hAnsi="宋体" w:eastAsia="宋体" w:cs="宋体"/>
          <w:color w:val="auto"/>
          <w:highlight w:val="none"/>
        </w:rPr>
        <w:sectPr>
          <w:headerReference r:id="rId8" w:type="default"/>
          <w:footerReference r:id="rId9" w:type="default"/>
          <w:pgSz w:w="11905" w:h="16838"/>
          <w:pgMar w:top="1474" w:right="1474" w:bottom="1474" w:left="1474" w:header="799" w:footer="907" w:gutter="0"/>
          <w:pgNumType w:fmt="decimal"/>
          <w:cols w:space="0" w:num="1"/>
          <w:rtlGutter w:val="0"/>
          <w:docGrid w:linePitch="0" w:charSpace="0"/>
        </w:sectPr>
      </w:pPr>
      <w:bookmarkStart w:id="86" w:name="三、资格审查及技术标"/>
      <w:bookmarkEnd w:id="86"/>
      <w:r>
        <w:rPr>
          <w:rFonts w:hint="eastAsia" w:ascii="宋体" w:hAnsi="宋体" w:eastAsia="宋体" w:cs="宋体"/>
          <w:color w:val="auto"/>
          <w:spacing w:val="-2"/>
          <w:sz w:val="32"/>
          <w:szCs w:val="32"/>
          <w:highlight w:val="none"/>
        </w:rPr>
        <w:t>投标人认为投标报价需要的其他材料</w:t>
      </w:r>
    </w:p>
    <w:p>
      <w:pPr>
        <w:rPr>
          <w:rFonts w:hint="eastAsia" w:ascii="宋体" w:hAnsi="宋体" w:eastAsia="宋体" w:cs="宋体"/>
          <w:color w:val="auto"/>
          <w:highlight w:val="none"/>
        </w:rPr>
      </w:pPr>
      <w:r>
        <w:rPr>
          <w:rFonts w:hint="eastAsia" w:ascii="宋体" w:hAnsi="宋体" w:eastAsia="宋体" w:cs="宋体"/>
          <w:color w:val="auto"/>
          <w:highlight w:val="none"/>
        </w:rPr>
        <w:drawing>
          <wp:inline distT="0" distB="0" distL="0" distR="0">
            <wp:extent cx="6186170" cy="8747760"/>
            <wp:effectExtent l="0" t="0" r="11430" b="254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13"/>
                    <a:stretch>
                      <a:fillRect/>
                    </a:stretch>
                  </pic:blipFill>
                  <pic:spPr>
                    <a:xfrm>
                      <a:off x="0" y="0"/>
                      <a:ext cx="6186170" cy="8747760"/>
                    </a:xfrm>
                    <a:prstGeom prst="rect">
                      <a:avLst/>
                    </a:prstGeom>
                  </pic:spPr>
                </pic:pic>
              </a:graphicData>
            </a:graphic>
          </wp:inline>
        </w:drawing>
      </w:r>
    </w:p>
    <w:p>
      <w:pPr>
        <w:pStyle w:val="2"/>
        <w:rPr>
          <w:rFonts w:hint="eastAsia" w:ascii="宋体" w:hAnsi="宋体" w:eastAsia="宋体" w:cs="宋体"/>
          <w:color w:val="auto"/>
          <w:highlight w:val="none"/>
        </w:rPr>
      </w:pPr>
      <w:r>
        <w:rPr>
          <w:rFonts w:hint="eastAsia" w:ascii="宋体" w:hAnsi="宋体" w:eastAsia="宋体" w:cs="宋体"/>
          <w:color w:val="auto"/>
          <w:highlight w:val="none"/>
        </w:rPr>
        <w:drawing>
          <wp:inline distT="0" distB="0" distL="0" distR="0">
            <wp:extent cx="6186170" cy="8747760"/>
            <wp:effectExtent l="0" t="0" r="11430" b="254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4"/>
                    <a:stretch>
                      <a:fillRect/>
                    </a:stretch>
                  </pic:blipFill>
                  <pic:spPr>
                    <a:xfrm>
                      <a:off x="0" y="0"/>
                      <a:ext cx="6186170" cy="8747760"/>
                    </a:xfrm>
                    <a:prstGeom prst="rect">
                      <a:avLst/>
                    </a:prstGeom>
                  </pic:spPr>
                </pic:pic>
              </a:graphicData>
            </a:graphic>
          </wp:inline>
        </w:drawing>
      </w:r>
      <w:r>
        <w:rPr>
          <w:rFonts w:hint="eastAsia" w:ascii="宋体" w:hAnsi="宋体" w:eastAsia="宋体" w:cs="宋体"/>
          <w:color w:val="auto"/>
          <w:highlight w:val="none"/>
        </w:rPr>
        <w:drawing>
          <wp:inline distT="0" distB="0" distL="0" distR="0">
            <wp:extent cx="6186170" cy="8747760"/>
            <wp:effectExtent l="0" t="0" r="11430" b="2540"/>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r:embed="rId15"/>
                    <a:stretch>
                      <a:fillRect/>
                    </a:stretch>
                  </pic:blipFill>
                  <pic:spPr>
                    <a:xfrm>
                      <a:off x="0" y="0"/>
                      <a:ext cx="6186170" cy="8747760"/>
                    </a:xfrm>
                    <a:prstGeom prst="rect">
                      <a:avLst/>
                    </a:prstGeom>
                  </pic:spPr>
                </pic:pic>
              </a:graphicData>
            </a:graphic>
          </wp:inline>
        </w:drawing>
      </w:r>
      <w:r>
        <w:rPr>
          <w:rFonts w:hint="eastAsia" w:ascii="宋体" w:hAnsi="宋体" w:eastAsia="宋体" w:cs="宋体"/>
          <w:color w:val="auto"/>
          <w:highlight w:val="none"/>
        </w:rPr>
        <w:drawing>
          <wp:inline distT="0" distB="0" distL="0" distR="0">
            <wp:extent cx="6186170" cy="8747760"/>
            <wp:effectExtent l="0" t="0" r="11430" b="254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6"/>
                    <a:stretch>
                      <a:fillRect/>
                    </a:stretch>
                  </pic:blipFill>
                  <pic:spPr>
                    <a:xfrm>
                      <a:off x="0" y="0"/>
                      <a:ext cx="6186170" cy="8747760"/>
                    </a:xfrm>
                    <a:prstGeom prst="rect">
                      <a:avLst/>
                    </a:prstGeom>
                  </pic:spPr>
                </pic:pic>
              </a:graphicData>
            </a:graphic>
          </wp:inline>
        </w:drawing>
      </w:r>
      <w:r>
        <w:rPr>
          <w:rFonts w:hint="eastAsia" w:ascii="宋体" w:hAnsi="宋体" w:eastAsia="宋体" w:cs="宋体"/>
          <w:color w:val="auto"/>
          <w:highlight w:val="none"/>
        </w:rPr>
        <w:drawing>
          <wp:inline distT="0" distB="0" distL="0" distR="0">
            <wp:extent cx="6186170" cy="8747760"/>
            <wp:effectExtent l="0" t="0" r="11430" b="2540"/>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r:embed="rId17"/>
                    <a:stretch>
                      <a:fillRect/>
                    </a:stretch>
                  </pic:blipFill>
                  <pic:spPr>
                    <a:xfrm>
                      <a:off x="0" y="0"/>
                      <a:ext cx="6186170" cy="8747760"/>
                    </a:xfrm>
                    <a:prstGeom prst="rect">
                      <a:avLst/>
                    </a:prstGeom>
                  </pic:spPr>
                </pic:pic>
              </a:graphicData>
            </a:graphic>
          </wp:inline>
        </w:drawing>
      </w:r>
      <w:r>
        <w:rPr>
          <w:rFonts w:hint="eastAsia" w:ascii="宋体" w:hAnsi="宋体" w:eastAsia="宋体" w:cs="宋体"/>
          <w:color w:val="auto"/>
          <w:highlight w:val="none"/>
        </w:rPr>
        <w:drawing>
          <wp:inline distT="0" distB="0" distL="0" distR="0">
            <wp:extent cx="6186170" cy="8747760"/>
            <wp:effectExtent l="0" t="0" r="11430" b="254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8"/>
                    <a:stretch>
                      <a:fillRect/>
                    </a:stretch>
                  </pic:blipFill>
                  <pic:spPr>
                    <a:xfrm>
                      <a:off x="0" y="0"/>
                      <a:ext cx="6186170" cy="8747760"/>
                    </a:xfrm>
                    <a:prstGeom prst="rect">
                      <a:avLst/>
                    </a:prstGeom>
                  </pic:spPr>
                </pic:pic>
              </a:graphicData>
            </a:graphic>
          </wp:inline>
        </w:drawing>
      </w:r>
      <w:r>
        <w:rPr>
          <w:rFonts w:hint="eastAsia" w:ascii="宋体" w:hAnsi="宋体" w:eastAsia="宋体" w:cs="宋体"/>
          <w:color w:val="auto"/>
          <w:highlight w:val="none"/>
        </w:rPr>
        <w:drawing>
          <wp:inline distT="0" distB="0" distL="0" distR="0">
            <wp:extent cx="6186170" cy="8747760"/>
            <wp:effectExtent l="0" t="0" r="11430" b="2540"/>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r:embed="rId19"/>
                    <a:stretch>
                      <a:fillRect/>
                    </a:stretch>
                  </pic:blipFill>
                  <pic:spPr>
                    <a:xfrm>
                      <a:off x="0" y="0"/>
                      <a:ext cx="6186170" cy="8747760"/>
                    </a:xfrm>
                    <a:prstGeom prst="rect">
                      <a:avLst/>
                    </a:prstGeom>
                  </pic:spPr>
                </pic:pic>
              </a:graphicData>
            </a:graphic>
          </wp:inline>
        </w:drawing>
      </w:r>
      <w:r>
        <w:rPr>
          <w:rFonts w:hint="eastAsia" w:ascii="宋体" w:hAnsi="宋体" w:eastAsia="宋体" w:cs="宋体"/>
          <w:color w:val="auto"/>
          <w:highlight w:val="none"/>
        </w:rPr>
        <w:drawing>
          <wp:inline distT="0" distB="0" distL="0" distR="0">
            <wp:extent cx="6186170" cy="8747760"/>
            <wp:effectExtent l="0" t="0" r="11430" b="254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0"/>
                    <a:stretch>
                      <a:fillRect/>
                    </a:stretch>
                  </pic:blipFill>
                  <pic:spPr>
                    <a:xfrm>
                      <a:off x="0" y="0"/>
                      <a:ext cx="6186170" cy="8747760"/>
                    </a:xfrm>
                    <a:prstGeom prst="rect">
                      <a:avLst/>
                    </a:prstGeom>
                  </pic:spPr>
                </pic:pic>
              </a:graphicData>
            </a:graphic>
          </wp:inline>
        </w:drawing>
      </w:r>
    </w:p>
    <w:p>
      <w:pPr>
        <w:pStyle w:val="3"/>
        <w:rPr>
          <w:rFonts w:hint="eastAsia" w:ascii="宋体" w:hAnsi="宋体" w:eastAsia="宋体" w:cs="宋体"/>
          <w:color w:val="auto"/>
          <w:highlight w:val="none"/>
        </w:rPr>
      </w:pPr>
    </w:p>
    <w:p>
      <w:pPr>
        <w:rPr>
          <w:rFonts w:hint="eastAsia" w:ascii="宋体" w:hAnsi="宋体" w:eastAsia="宋体" w:cs="宋体"/>
          <w:color w:val="auto"/>
          <w:highlight w:val="none"/>
        </w:rPr>
      </w:pPr>
    </w:p>
    <w:sectPr>
      <w:footerReference r:id="rId10" w:type="default"/>
      <w:pgSz w:w="11905" w:h="16838"/>
      <w:pgMar w:top="1474" w:right="1474" w:bottom="1474" w:left="1474" w:header="799" w:footer="907" w:gutter="0"/>
      <w:cols w:space="0" w:num="1"/>
      <w:rtlGutter w:val="0"/>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中等线简体">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12"/>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3787775</wp:posOffset>
              </wp:positionH>
              <wp:positionV relativeFrom="page">
                <wp:posOffset>9955530</wp:posOffset>
              </wp:positionV>
              <wp:extent cx="167640" cy="173355"/>
              <wp:effectExtent l="0" t="0" r="0" b="0"/>
              <wp:wrapNone/>
              <wp:docPr id="19" name="文本框 1"/>
              <wp:cNvGraphicFramePr/>
              <a:graphic xmlns:a="http://schemas.openxmlformats.org/drawingml/2006/main">
                <a:graphicData uri="http://schemas.microsoft.com/office/word/2010/wordprocessingShape">
                  <wps:wsp>
                    <wps:cNvSpPr txBox="1"/>
                    <wps:spPr>
                      <a:xfrm>
                        <a:off x="0" y="0"/>
                        <a:ext cx="167640" cy="173355"/>
                      </a:xfrm>
                      <a:prstGeom prst="rect">
                        <a:avLst/>
                      </a:prstGeom>
                      <a:noFill/>
                      <a:ln>
                        <a:noFill/>
                      </a:ln>
                    </wps:spPr>
                    <wps:txbx>
                      <w:txbxContent>
                        <w:p>
                          <w:pPr>
                            <w:spacing w:before="46"/>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11</w:t>
                          </w:r>
                          <w:r>
                            <w:fldChar w:fldCharType="end"/>
                          </w:r>
                        </w:p>
                      </w:txbxContent>
                    </wps:txbx>
                    <wps:bodyPr lIns="0" tIns="0" rIns="0" bIns="0" upright="1"/>
                  </wps:wsp>
                </a:graphicData>
              </a:graphic>
            </wp:anchor>
          </w:drawing>
        </mc:Choice>
        <mc:Fallback>
          <w:pict>
            <v:shape id="文本框 1" o:spid="_x0000_s1026" o:spt="202" type="#_x0000_t202" style="position:absolute;left:0pt;margin-left:298.25pt;margin-top:783.9pt;height:13.65pt;width:13.2pt;mso-position-horizontal-relative:page;mso-position-vertical-relative:page;z-index:-251657216;mso-width-relative:page;mso-height-relative:page;" filled="f" stroked="f" coordsize="21600,21600" o:gfxdata="UEsDBAoAAAAAAIdO4kAAAAAAAAAAAAAAAAAEAAAAZHJzL1BLAwQUAAAACACHTuJA4P4nqdoAAAAN&#10;AQAADwAAAGRycy9kb3ducmV2LnhtbE2PzU7DMBCE70i8g7WVuFE7kRJIGqdCCE5IiDQcODqxm1iN&#10;1yF2f3h7tic47syn2Zlqe3ETO5klWI8SkrUAZrD32uIg4bN9vX8EFqJCrSaPRsKPCbCtb28qVWp/&#10;xsacdnFgFIKhVBLGGOeS89CPxqmw9rNB8vZ+cSrSuQxcL+pM4W7iqRA5d8oifRjVbJ5H0x92Ryfh&#10;6QubF/v93n00+8a2bSHwLT9IebdKxAZYNJf4B8O1PlWHmjp1/og6sElCVuQZoWRk+QONICRP0wJY&#10;d5WKLAFeV/z/ivoXUEsDBBQAAAAIAIdO4kCbRSqkugEAAHIDAAAOAAAAZHJzL2Uyb0RvYy54bWyt&#10;U0tu2zAQ3RfIHQjuY9pJ4zSC5QCFkaJA0RZIewCaIi0CJIcgaUu+QHuDrrrpvufyOTqkLOe3yaIb&#10;ajgzfDPvzWhx21tDdjJEDa6ms8mUEukENNptavr92935O0pi4q7hBpys6V5Gers8e7PofCUvoAXT&#10;yEAQxMWq8zVtU/IVY1G00vI4AS8dBhUEyxNew4Y1gXeIbg27mE7nrIPQ+ABCxoje1RCkR8TwGkBQ&#10;Sgu5ArG10qUBNUjDE1KKrfaRLku3SkmRvigVZSKmpsg0lROLoL3OJ1sueLUJ3LdaHFvgr2nhGSfL&#10;tcOiJ6gVT5xsg34BZbUIEEGliQDLBiJFEWQxmz7T5r7lXhYuKHX0J9Hj/4MVn3dfA9ENbsINJY5b&#10;nPjh18/D77+HPz/ILOvT+Vhh2r3HxNS/hx5zR39EZ6bdq2DzFwkRjKO6+5O6sk9E5Efz6/lbjAgM&#10;za4vL6+uMgp7eOxDTB8kWJKNmgYcXtGU7z7FNKSOKbmWgzttTBmgcU8ciJk9LHc+dJit1K/7I501&#10;NHtkYz46lDKvxWiE0ViPxtYHvWmxncK5QOIoSt/HtcmzfnwvhR9+le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4P4nqdoAAAANAQAADwAAAAAAAAABACAAAAAiAAAAZHJzL2Rvd25yZXYueG1sUEsB&#10;AhQAFAAAAAgAh07iQJtFKqS6AQAAcgMAAA4AAAAAAAAAAQAgAAAAKQEAAGRycy9lMm9Eb2MueG1s&#10;UEsFBgAAAAAGAAYAWQEAAFUFAAAAAA==&#10;">
              <v:fill on="f" focussize="0,0"/>
              <v:stroke on="f"/>
              <v:imagedata o:title=""/>
              <o:lock v:ext="edit" aspectratio="f"/>
              <v:textbox inset="0mm,0mm,0mm,0mm">
                <w:txbxContent>
                  <w:p>
                    <w:pPr>
                      <w:spacing w:before="46"/>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8"/>
        <w:rFonts w:hint="eastAsia"/>
      </w:rPr>
    </w:pPr>
    <w:r>
      <w:rPr>
        <w:rStyle w:val="28"/>
      </w:rPr>
      <w:fldChar w:fldCharType="begin"/>
    </w:r>
    <w:r>
      <w:rPr>
        <w:rStyle w:val="28"/>
        <w:highlight w:val="white"/>
      </w:rPr>
      <w:instrText xml:space="preserve">PAGE  </w:instrText>
    </w:r>
    <w:r>
      <w:rPr>
        <w:rStyle w:val="28"/>
      </w:rPr>
      <w:fldChar w:fldCharType="separate"/>
    </w:r>
    <w:r>
      <w:rPr>
        <w:rStyle w:val="28"/>
        <w:highlight w:val="white"/>
      </w:rPr>
      <w:t>75</w:t>
    </w:r>
    <w:r>
      <w:rPr>
        <w:rStyle w:val="28"/>
      </w:rPr>
      <w:fldChar w:fldCharType="end"/>
    </w:r>
  </w:p>
  <w:p>
    <w:pPr>
      <w:pStyle w:val="15"/>
      <w:rPr>
        <w:rFonts w:hint="eastAsia"/>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8"/>
      </w:rPr>
    </w:pPr>
    <w:r>
      <w:fldChar w:fldCharType="begin"/>
    </w:r>
    <w:r>
      <w:rPr>
        <w:rStyle w:val="28"/>
        <w:highlight w:val="white"/>
      </w:rPr>
      <w:instrText xml:space="preserve">PAGE  </w:instrText>
    </w:r>
    <w:r>
      <w:fldChar w:fldCharType="separate"/>
    </w:r>
    <w:r>
      <w:rPr>
        <w:rStyle w:val="28"/>
        <w:highlight w:val="white"/>
      </w:rPr>
      <w:t>1</w:t>
    </w:r>
    <w:r>
      <w:fldChar w:fldCharType="end"/>
    </w:r>
  </w:p>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60288" behindDoc="1" locked="0" layoutInCell="1" allowOverlap="1">
              <wp:simplePos x="0" y="0"/>
              <wp:positionH relativeFrom="page">
                <wp:posOffset>3789680</wp:posOffset>
              </wp:positionH>
              <wp:positionV relativeFrom="page">
                <wp:posOffset>9961880</wp:posOffset>
              </wp:positionV>
              <wp:extent cx="166370" cy="152400"/>
              <wp:effectExtent l="0" t="0" r="0" b="0"/>
              <wp:wrapNone/>
              <wp:docPr id="20" name="文本框 2"/>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14:shadow w14:blurRad="50800" w14:dist="38100" w14:dir="2700000" w14:sx="100000" w14:sy="100000" w14:kx="0" w14:ky="0" w14:algn="tl">
                                <w14:srgbClr w14:val="000000">
                                  <w14:alpha w14:val="60000"/>
                                </w14:srgbClr>
                              </w14:shadow>
                            </w:rPr>
                            <w:instrText xml:space="preserve"> PAGE </w:instrText>
                          </w:r>
                          <w:r>
                            <w:fldChar w:fldCharType="separate"/>
                          </w:r>
                          <w:r>
                            <w:rPr>
                              <w:rFonts w:ascii="Times New Roman"/>
                              <w:sz w:val="18"/>
                              <w14:shadow w14:blurRad="50800" w14:dist="38100" w14:dir="2700000" w14:sx="100000" w14:sy="100000" w14:kx="0" w14:ky="0" w14:algn="tl">
                                <w14:srgbClr w14:val="000000">
                                  <w14:alpha w14:val="60000"/>
                                </w14:srgbClr>
                              </w14:shadow>
                            </w:rPr>
                            <w:t>55</w:t>
                          </w:r>
                          <w:r>
                            <w:fldChar w:fldCharType="end"/>
                          </w:r>
                        </w:p>
                      </w:txbxContent>
                    </wps:txbx>
                    <wps:bodyPr lIns="0" tIns="0" rIns="0" bIns="0" upright="1"/>
                  </wps:wsp>
                </a:graphicData>
              </a:graphic>
            </wp:anchor>
          </w:drawing>
        </mc:Choice>
        <mc:Fallback>
          <w:pict>
            <v:shape id="文本框 2" o:spid="_x0000_s1026" o:spt="202" type="#_x0000_t202" style="position:absolute;left:0pt;margin-left:298.4pt;margin-top:784.4pt;height:12pt;width:13.1pt;mso-position-horizontal-relative:page;mso-position-vertical-relative:page;z-index:-251656192;mso-width-relative:page;mso-height-relative:page;" filled="f" stroked="f" coordsize="21600,21600" o:gfxdata="UEsDBAoAAAAAAIdO4kAAAAAAAAAAAAAAAAAEAAAAZHJzL1BLAwQUAAAACACHTuJAuGYGsdoAAAAN&#10;AQAADwAAAGRycy9kb3ducmV2LnhtbE2PzU7DMBCE70h9B2uRuFG7QY2SEKeqEJyQEGk4cHRiN7Ea&#10;r0Ps/vD2bE/0trszmv2m3FzcyE5mDtajhNVSADPYeW2xl/DVvD1mwEJUqNXo0Uj4NQE21eKuVIX2&#10;Z6zNaRd7RiEYCiVhiHEqOA/dYJwKSz8ZJG3vZ6cirXPP9azOFO5GngiRcqcs0odBTeZlMN1hd3QS&#10;tt9Yv9qfj/az3te2aXKB7+lByof7lXgGFs0l/pvhik/oUBFT64+oAxslrPOU0CMJ6zSjiSxp8kT1&#10;2uspTzLgVclvW1R/UEsDBBQAAAAIAIdO4kDdb6aUugEAAHIDAAAOAAAAZHJzL2Uyb0RvYy54bWyt&#10;U0uOEzEQ3SNxB8t74k4zBNRKZyQUDRoJDUgDB3DcdtqSfyo76c4F4AazYsOec+UclJ10BobNLNi4&#10;y1Xl5/deuZfXozVkLyFq71o6n1WUSCd8p922pV+/3Lx6R0lM3HXceCdbepCRXq9evlgOoZG1773p&#10;JBAEcbEZQkv7lELDWBS9tDzOfJAOi8qD5Qm3sGUd8AHRrWF1VS3Y4KEL4IWMEbPrU5GeEeE5gF4p&#10;LeTai52VLp1QQRqeUFLsdYh0VdgqJUX6pFSUiZiWotJUVrwE401e2WrJmy3w0GtxpsCfQ+GJJsu1&#10;w0svUGueONmB/gfKagE+epVmwlt2ElIcQRXz6ok39z0PsmhBq2O4mB7/H6y4238GoruW1miJ4xYn&#10;fnz4fvzx6/jzG6mzP0OIDbbdB2xM43s/4quZ8hGTWfaowOYvCiJYR6jDxV05JiLyocXi9VusCCzN&#10;39RXVXGfPR4OENMH6S3JQUsBh1c85fuPMSERbJ1a8l3O32hjygCN+yuBjTnDMvMTwxylcTOe5Wx8&#10;d0A15tahlUgpTQFMwWYKdgH0tkc6RXOBxFEUMudnk2f9575c/PirrH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GYGsdoAAAANAQAADwAAAAAAAAABACAAAAAiAAAAZHJzL2Rvd25yZXYueG1sUEsB&#10;AhQAFAAAAAgAh07iQN1vppS6AQAAcgMAAA4AAAAAAAAAAQAgAAAAKQEAAGRycy9lMm9Eb2MueG1s&#10;UEsFBgAAAAAGAAYAWQEAAFUFA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14:shadow w14:blurRad="50800" w14:dist="38100" w14:dir="2700000" w14:sx="100000" w14:sy="100000" w14:kx="0" w14:ky="0" w14:algn="tl">
                          <w14:srgbClr w14:val="000000">
                            <w14:alpha w14:val="60000"/>
                          </w14:srgbClr>
                        </w14:shadow>
                      </w:rPr>
                      <w:instrText xml:space="preserve"> PAGE </w:instrText>
                    </w:r>
                    <w:r>
                      <w:fldChar w:fldCharType="separate"/>
                    </w:r>
                    <w:r>
                      <w:rPr>
                        <w:rFonts w:ascii="Times New Roman"/>
                        <w:sz w:val="18"/>
                        <w14:shadow w14:blurRad="50800" w14:dist="38100" w14:dir="2700000" w14:sx="100000" w14:sy="100000" w14:kx="0" w14:ky="0" w14:algn="tl">
                          <w14:srgbClr w14:val="000000">
                            <w14:alpha w14:val="60000"/>
                          </w14:srgbClr>
                        </w14:shadow>
                      </w:rPr>
                      <w:t>55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3" w:lineRule="exact"/>
      <w:ind w:firstLine="440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posOffset>2476500</wp:posOffset>
              </wp:positionH>
              <wp:positionV relativeFrom="paragraph">
                <wp:posOffset>0</wp:posOffset>
              </wp:positionV>
              <wp:extent cx="43053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43053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5pt;margin-top:0pt;height:144pt;width:33.9pt;mso-position-horizontal-relative:margin;z-index:251662336;mso-width-relative:page;mso-height-relative:page;" filled="f" stroked="f" coordsize="21600,21600" o:gfxdata="UEsDBAoAAAAAAIdO4kAAAAAAAAAAAAAAAAAEAAAAZHJzL1BLAwQUAAAACACHTuJAmNX1w9gAAAAI&#10;AQAADwAAAGRycy9kb3ducmV2LnhtbE2PzU7DMBCE70i8g7VI3Kjd8hdCnB4Q9ACnpqjqcRtv4kBs&#10;R7GbFp6e5QSXlVYzO/tNsTy5Xkw0xi54DfOZAkG+DqbzrYb3zctVBiIm9Ab74EnDF0VYludnBeYm&#10;HP2apiq1gkN8zFGDTWnIpYy1JYdxFgbyrDVhdJh4HVtpRjxyuOvlQqk76bDz/MHiQE+W6s/q4Bhj&#10;+6bc6ruxO/eKTazsZlo9f2h9eTFXjyASndKfGX7x+QZKZtqHgzdR9BquHxR3SRp4snxze89N9hoW&#10;WaZAloX8X6D8AVBLAwQUAAAACACHTuJA2z//VzkCAABmBAAADgAAAGRycy9lMm9Eb2MueG1srVRL&#10;btswEN0X6B0I7mvJzgeGETlwY7goEDQB3KJrmqIsAfyVpC2lB2hv0FU32fdcPkcfKcsp0i6y6IYe&#10;zf+9mfHVdack2QvnG6MLOh7llAjNTdnobUE/fVy9mVLiA9Mlk0aLgj4IT6/nr19dtXYmJqY2shSO&#10;IIn2s9YWtA7BzrLM81oo5kfGCg1jZZxiAZ9um5WOtciuZDbJ88usNa60znDhPbTL3kiPGd1LEpqq&#10;arhYGr5TQoc+qxOSBUDydWM9naduq0rwcFdVXgQiCwqkIb0oAnkT32x+xWZbx2zd8GML7CUtPMOk&#10;WKNR9JRqyQIjO9f8lUo13BlvqjDiRmU9kMQIUIzzZ9ysa2ZFwgKqvT2R7v9fWv5hf+9IU2IT8nNK&#10;NFMY+eHH98PPX4fHbyQqQVFr/Qyeawvf0L01HdwHvYcyIu8qp+IvMBHYQfDDiWDRBcKhPD/LL85g&#10;4TCNp5PpNE8TyJ6irfPhnTCKRKGgDgNMvLL9rQ/oBK6DSyymzaqRMg1RatIW9PLsIk8BJwsipEZg&#10;xND3GqXQbbojsI0pH4DLmX45vOWrBsVvmQ/3zGEb0DDuJdzhqaRBEXOUKKmN+/ovffTHkGClpMV2&#10;FdR/2TEnKJHvNcaHlGEQ3CBsBkHv1I3Bwo5xiZYnEQEuyEGsnFGfcUaLWAUmpjlqFTQM4k3odxxn&#10;yMVikZx21jXbug/A8lkWbvXa8lgmUuntYhdAZ2I5UtTzcmQO65fIP55K3O8/v5PX09/D/D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Y1fXD2AAAAAgBAAAPAAAAAAAAAAEAIAAAACIAAABkcnMvZG93&#10;bnJldi54bWxQSwECFAAUAAAACACHTuJA2z//VzkCAABmBAAADgAAAAAAAAABACAAAAAnAQAAZHJz&#10;L2Uyb0RvYy54bWxQSwUGAAAAAAYABgBZAQAA0g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51661312" behindDoc="1" locked="0" layoutInCell="1" allowOverlap="1">
              <wp:simplePos x="0" y="0"/>
              <wp:positionH relativeFrom="page">
                <wp:posOffset>3789680</wp:posOffset>
              </wp:positionH>
              <wp:positionV relativeFrom="page">
                <wp:posOffset>9961880</wp:posOffset>
              </wp:positionV>
              <wp:extent cx="166370" cy="152400"/>
              <wp:effectExtent l="0" t="0" r="0" b="0"/>
              <wp:wrapNone/>
              <wp:docPr id="22" name="文本框 4"/>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14:shadow w14:blurRad="50800" w14:dist="38100" w14:dir="2700000" w14:sx="100000" w14:sy="100000" w14:kx="0" w14:ky="0" w14:algn="tl">
                                <w14:srgbClr w14:val="000000">
                                  <w14:alpha w14:val="60000"/>
                                </w14:srgbClr>
                              </w14:shadow>
                            </w:rPr>
                            <w:instrText xml:space="preserve"> PAGE </w:instrText>
                          </w:r>
                          <w:r>
                            <w:fldChar w:fldCharType="separate"/>
                          </w:r>
                          <w:r>
                            <w:rPr>
                              <w:rFonts w:ascii="Times New Roman"/>
                              <w:sz w:val="18"/>
                              <w14:shadow w14:blurRad="50800" w14:dist="38100" w14:dir="2700000" w14:sx="100000" w14:sy="100000" w14:kx="0" w14:ky="0" w14:algn="tl">
                                <w14:srgbClr w14:val="000000">
                                  <w14:alpha w14:val="60000"/>
                                </w14:srgbClr>
                              </w14:shadow>
                            </w:rPr>
                            <w:t>63</w:t>
                          </w:r>
                          <w:r>
                            <w:fldChar w:fldCharType="end"/>
                          </w:r>
                        </w:p>
                      </w:txbxContent>
                    </wps:txbx>
                    <wps:bodyPr lIns="0" tIns="0" rIns="0" bIns="0" upright="1"/>
                  </wps:wsp>
                </a:graphicData>
              </a:graphic>
            </wp:anchor>
          </w:drawing>
        </mc:Choice>
        <mc:Fallback>
          <w:pict>
            <v:shape id="文本框 4" o:spid="_x0000_s1026" o:spt="202" type="#_x0000_t202" style="position:absolute;left:0pt;margin-left:298.4pt;margin-top:784.4pt;height:12pt;width:13.1pt;mso-position-horizontal-relative:page;mso-position-vertical-relative:page;z-index:-251655168;mso-width-relative:page;mso-height-relative:page;" filled="f" stroked="f" coordsize="21600,21600" o:gfxdata="UEsDBAoAAAAAAIdO4kAAAAAAAAAAAAAAAAAEAAAAZHJzL1BLAwQUAAAACACHTuJAuGYGsdoAAAAN&#10;AQAADwAAAGRycy9kb3ducmV2LnhtbE2PzU7DMBCE70h9B2uRuFG7QY2SEKeqEJyQEGk4cHRiN7Ea&#10;r0Ps/vD2bE/0trszmv2m3FzcyE5mDtajhNVSADPYeW2xl/DVvD1mwEJUqNXo0Uj4NQE21eKuVIX2&#10;Z6zNaRd7RiEYCiVhiHEqOA/dYJwKSz8ZJG3vZ6cirXPP9azOFO5GngiRcqcs0odBTeZlMN1hd3QS&#10;tt9Yv9qfj/az3te2aXKB7+lByof7lXgGFs0l/pvhik/oUBFT64+oAxslrPOU0CMJ6zSjiSxp8kT1&#10;2uspTzLgVclvW1R/UEsDBBQAAAAIAIdO4kCPV12YugEAAHIDAAAOAAAAZHJzL2Uyb0RvYy54bWyt&#10;U8GO0zAQvSPxD5bv1GlYCoqaroSqRUgIkHb5ANexG0u2x7LdJv0B+ANOXLjzXf0Oxm7Thd3LHvbi&#10;jGfGz++9cZbXozVkL0PU4Fo6n1WUSCeg027b0m93N6/eURITdx034GRLDzLS69XLF8vBN7KGHkwn&#10;A0EQF5vBt7RPyTeMRdFLy+MMvHRYVBAsT7gNW9YFPiC6NayuqgUbIHQ+gJAxYnZ9KtIzYngKICil&#10;hVyD2Fnp0gk1SMMTSoq99pGuClulpEhflIoyEdNSVJrKipdgvMkrWy15sw3c91qcKfCnUHigyXLt&#10;8NIL1JonTnZBP4KyWgSIoNJMgGUnIcURVDGvHnhz23Mvixa0OvqL6fH5YMXn/ddAdNfSuqbEcYsT&#10;P/78cfz15/j7O7nK/gw+Nth267Exje9hxFcz5SMms+xRBZu/KIhgHd09XNyVYyIiH1osXr/FisDS&#10;/E19VRX32f1hH2L6IMGSHLQ04PCKp3z/KSYkgq1TS77LwY02pgzQuP8S2JgzLDM/McxRGjfjWc4G&#10;ugOqMR8dWpmfxRSEKdhMwc4Hve2RTtFcIHEUhcz52eRZ/7svF9//Kq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GYGsdoAAAANAQAADwAAAAAAAAABACAAAAAiAAAAZHJzL2Rvd25yZXYueG1sUEsB&#10;AhQAFAAAAAgAh07iQI9XXZi6AQAAcgMAAA4AAAAAAAAAAQAgAAAAKQEAAGRycy9lMm9Eb2MueG1s&#10;UEsFBgAAAAAGAAYAWQEAAFUFA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14:shadow w14:blurRad="50800" w14:dist="38100" w14:dir="2700000" w14:sx="100000" w14:sy="100000" w14:kx="0" w14:ky="0" w14:algn="tl">
                          <w14:srgbClr w14:val="000000">
                            <w14:alpha w14:val="60000"/>
                          </w14:srgbClr>
                        </w14:shadow>
                      </w:rPr>
                      <w:instrText xml:space="preserve"> PAGE </w:instrText>
                    </w:r>
                    <w:r>
                      <w:fldChar w:fldCharType="separate"/>
                    </w:r>
                    <w:r>
                      <w:rPr>
                        <w:rFonts w:ascii="Times New Roman"/>
                        <w:sz w:val="18"/>
                        <w14:shadow w14:blurRad="50800" w14:dist="38100" w14:dir="2700000" w14:sx="100000" w14:sy="100000" w14:kx="0" w14:ky="0" w14:algn="tl">
                          <w14:srgbClr w14:val="000000">
                            <w14:alpha w14:val="60000"/>
                          </w14:srgbClr>
                        </w14:shadow>
                      </w:rPr>
                      <w:t>63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right" w:y="1"/>
      <w:rPr>
        <w:rStyle w:val="28"/>
      </w:rPr>
    </w:pPr>
    <w:r>
      <w:fldChar w:fldCharType="begin"/>
    </w:r>
    <w:r>
      <w:rPr>
        <w:rStyle w:val="28"/>
        <w:highlight w:val="white"/>
      </w:rPr>
      <w:instrText xml:space="preserve">PAGE  </w:instrText>
    </w:r>
    <w:r>
      <w:fldChar w:fldCharType="separate"/>
    </w:r>
    <w:r>
      <w:fldChar w:fldCharType="end"/>
    </w:r>
  </w:p>
  <w:p>
    <w:pPr>
      <w:pStyle w:val="1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宋体"/>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923771"/>
    <w:multiLevelType w:val="multilevel"/>
    <w:tmpl w:val="BE923771"/>
    <w:lvl w:ilvl="0" w:tentative="0">
      <w:start w:val="1"/>
      <w:numFmt w:val="decimal"/>
      <w:lvlText w:val="（%1）"/>
      <w:lvlJc w:val="left"/>
      <w:pPr>
        <w:ind w:left="1222" w:hanging="502"/>
      </w:pPr>
      <w:rPr>
        <w:rFonts w:hint="default" w:ascii="仿宋" w:hAnsi="仿宋" w:eastAsia="仿宋" w:cs="仿宋"/>
        <w:spacing w:val="-2"/>
        <w:w w:val="99"/>
        <w:sz w:val="24"/>
        <w:szCs w:val="24"/>
      </w:rPr>
    </w:lvl>
    <w:lvl w:ilvl="1" w:tentative="0">
      <w:start w:val="0"/>
      <w:numFmt w:val="bullet"/>
      <w:lvlText w:val="•"/>
      <w:lvlJc w:val="left"/>
      <w:pPr>
        <w:ind w:left="2218" w:hanging="502"/>
      </w:pPr>
      <w:rPr>
        <w:rFonts w:hint="default"/>
      </w:rPr>
    </w:lvl>
    <w:lvl w:ilvl="2" w:tentative="0">
      <w:start w:val="0"/>
      <w:numFmt w:val="bullet"/>
      <w:lvlText w:val="•"/>
      <w:lvlJc w:val="left"/>
      <w:pPr>
        <w:ind w:left="3216" w:hanging="502"/>
      </w:pPr>
      <w:rPr>
        <w:rFonts w:hint="default"/>
      </w:rPr>
    </w:lvl>
    <w:lvl w:ilvl="3" w:tentative="0">
      <w:start w:val="0"/>
      <w:numFmt w:val="bullet"/>
      <w:lvlText w:val="•"/>
      <w:lvlJc w:val="left"/>
      <w:pPr>
        <w:ind w:left="4214" w:hanging="502"/>
      </w:pPr>
      <w:rPr>
        <w:rFonts w:hint="default"/>
      </w:rPr>
    </w:lvl>
    <w:lvl w:ilvl="4" w:tentative="0">
      <w:start w:val="0"/>
      <w:numFmt w:val="bullet"/>
      <w:lvlText w:val="•"/>
      <w:lvlJc w:val="left"/>
      <w:pPr>
        <w:ind w:left="5212" w:hanging="502"/>
      </w:pPr>
      <w:rPr>
        <w:rFonts w:hint="default"/>
      </w:rPr>
    </w:lvl>
    <w:lvl w:ilvl="5" w:tentative="0">
      <w:start w:val="0"/>
      <w:numFmt w:val="bullet"/>
      <w:lvlText w:val="•"/>
      <w:lvlJc w:val="left"/>
      <w:pPr>
        <w:ind w:left="6210" w:hanging="502"/>
      </w:pPr>
      <w:rPr>
        <w:rFonts w:hint="default"/>
      </w:rPr>
    </w:lvl>
    <w:lvl w:ilvl="6" w:tentative="0">
      <w:start w:val="0"/>
      <w:numFmt w:val="bullet"/>
      <w:lvlText w:val="•"/>
      <w:lvlJc w:val="left"/>
      <w:pPr>
        <w:ind w:left="7208" w:hanging="502"/>
      </w:pPr>
      <w:rPr>
        <w:rFonts w:hint="default"/>
      </w:rPr>
    </w:lvl>
    <w:lvl w:ilvl="7" w:tentative="0">
      <w:start w:val="0"/>
      <w:numFmt w:val="bullet"/>
      <w:lvlText w:val="•"/>
      <w:lvlJc w:val="left"/>
      <w:pPr>
        <w:ind w:left="8206" w:hanging="502"/>
      </w:pPr>
      <w:rPr>
        <w:rFonts w:hint="default"/>
      </w:rPr>
    </w:lvl>
    <w:lvl w:ilvl="8" w:tentative="0">
      <w:start w:val="0"/>
      <w:numFmt w:val="bullet"/>
      <w:lvlText w:val="•"/>
      <w:lvlJc w:val="left"/>
      <w:pPr>
        <w:ind w:left="9204" w:hanging="502"/>
      </w:pPr>
      <w:rPr>
        <w:rFonts w:hint="default"/>
      </w:rPr>
    </w:lvl>
  </w:abstractNum>
  <w:abstractNum w:abstractNumId="1">
    <w:nsid w:val="DD5C6C84"/>
    <w:multiLevelType w:val="singleLevel"/>
    <w:tmpl w:val="DD5C6C84"/>
    <w:lvl w:ilvl="0" w:tentative="0">
      <w:start w:val="6"/>
      <w:numFmt w:val="chineseCounting"/>
      <w:suff w:val="space"/>
      <w:lvlText w:val="第%1章"/>
      <w:lvlJc w:val="left"/>
      <w:rPr>
        <w:rFonts w:hint="eastAsia"/>
      </w:rPr>
    </w:lvl>
  </w:abstractNum>
  <w:abstractNum w:abstractNumId="2">
    <w:nsid w:val="FCD2E30D"/>
    <w:multiLevelType w:val="singleLevel"/>
    <w:tmpl w:val="FCD2E30D"/>
    <w:lvl w:ilvl="0" w:tentative="0">
      <w:start w:val="1"/>
      <w:numFmt w:val="decimal"/>
      <w:suff w:val="space"/>
      <w:lvlText w:val="（%1）"/>
      <w:lvlJc w:val="left"/>
    </w:lvl>
  </w:abstractNum>
  <w:abstractNum w:abstractNumId="3">
    <w:nsid w:val="0000000E"/>
    <w:multiLevelType w:val="singleLevel"/>
    <w:tmpl w:val="0000000E"/>
    <w:lvl w:ilvl="0" w:tentative="0">
      <w:start w:val="29"/>
      <w:numFmt w:val="decimal"/>
      <w:lvlText w:val="%1."/>
      <w:lvlJc w:val="left"/>
      <w:pPr>
        <w:tabs>
          <w:tab w:val="left" w:pos="312"/>
        </w:tabs>
      </w:pPr>
    </w:lvl>
  </w:abstractNum>
  <w:abstractNum w:abstractNumId="4">
    <w:nsid w:val="00910A86"/>
    <w:multiLevelType w:val="singleLevel"/>
    <w:tmpl w:val="00910A86"/>
    <w:lvl w:ilvl="0" w:tentative="0">
      <w:start w:val="3"/>
      <w:numFmt w:val="decimal"/>
      <w:suff w:val="nothing"/>
      <w:lvlText w:val="%1、"/>
      <w:lvlJc w:val="left"/>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1"/>
  <w:drawingGridHorizontalSpacing w:val="220"/>
  <w:drawingGridVerticalSpacing w:val="9999999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1NjMzYmRkOGM4NTE1ZjcyNTkwNjZkMWI5YjFhOGIifQ=="/>
  </w:docVars>
  <w:rsids>
    <w:rsidRoot w:val="00A761E0"/>
    <w:rsid w:val="00000DCC"/>
    <w:rsid w:val="000077B9"/>
    <w:rsid w:val="00081B32"/>
    <w:rsid w:val="000E3DB3"/>
    <w:rsid w:val="00113D04"/>
    <w:rsid w:val="0012146C"/>
    <w:rsid w:val="00145095"/>
    <w:rsid w:val="001708B3"/>
    <w:rsid w:val="001B25C9"/>
    <w:rsid w:val="001C2EF8"/>
    <w:rsid w:val="001E0763"/>
    <w:rsid w:val="002521AB"/>
    <w:rsid w:val="002A17E7"/>
    <w:rsid w:val="002F4471"/>
    <w:rsid w:val="00305185"/>
    <w:rsid w:val="0031353C"/>
    <w:rsid w:val="003C59DF"/>
    <w:rsid w:val="003C7FDE"/>
    <w:rsid w:val="003D5A2D"/>
    <w:rsid w:val="004100B8"/>
    <w:rsid w:val="00410812"/>
    <w:rsid w:val="00410E0E"/>
    <w:rsid w:val="00412EB0"/>
    <w:rsid w:val="004229DE"/>
    <w:rsid w:val="004D7914"/>
    <w:rsid w:val="004E2A9D"/>
    <w:rsid w:val="004E5AE3"/>
    <w:rsid w:val="00530D64"/>
    <w:rsid w:val="005451B4"/>
    <w:rsid w:val="005A1480"/>
    <w:rsid w:val="005C19CE"/>
    <w:rsid w:val="005E20D6"/>
    <w:rsid w:val="005F3ACC"/>
    <w:rsid w:val="00615611"/>
    <w:rsid w:val="0062137E"/>
    <w:rsid w:val="00633EEE"/>
    <w:rsid w:val="00635558"/>
    <w:rsid w:val="006517E1"/>
    <w:rsid w:val="00683B28"/>
    <w:rsid w:val="006946A9"/>
    <w:rsid w:val="006A05A5"/>
    <w:rsid w:val="006A5664"/>
    <w:rsid w:val="006E79B4"/>
    <w:rsid w:val="006F45FF"/>
    <w:rsid w:val="0070494A"/>
    <w:rsid w:val="00711207"/>
    <w:rsid w:val="00711FDE"/>
    <w:rsid w:val="00713084"/>
    <w:rsid w:val="00732053"/>
    <w:rsid w:val="00740A01"/>
    <w:rsid w:val="00782B7F"/>
    <w:rsid w:val="00784162"/>
    <w:rsid w:val="007C717F"/>
    <w:rsid w:val="007D1944"/>
    <w:rsid w:val="00852C27"/>
    <w:rsid w:val="008803C6"/>
    <w:rsid w:val="008A14DB"/>
    <w:rsid w:val="008C4EA5"/>
    <w:rsid w:val="008D06FC"/>
    <w:rsid w:val="009229C0"/>
    <w:rsid w:val="0092445C"/>
    <w:rsid w:val="00930BEC"/>
    <w:rsid w:val="00932C26"/>
    <w:rsid w:val="00942E66"/>
    <w:rsid w:val="00950327"/>
    <w:rsid w:val="00997A16"/>
    <w:rsid w:val="009E630A"/>
    <w:rsid w:val="009F49D1"/>
    <w:rsid w:val="00A36273"/>
    <w:rsid w:val="00A761E0"/>
    <w:rsid w:val="00A84202"/>
    <w:rsid w:val="00A92B3E"/>
    <w:rsid w:val="00AD0F45"/>
    <w:rsid w:val="00AD504F"/>
    <w:rsid w:val="00AE310D"/>
    <w:rsid w:val="00AE4479"/>
    <w:rsid w:val="00AE6C33"/>
    <w:rsid w:val="00B024F4"/>
    <w:rsid w:val="00B417F5"/>
    <w:rsid w:val="00B81615"/>
    <w:rsid w:val="00B8482D"/>
    <w:rsid w:val="00B9490D"/>
    <w:rsid w:val="00BA024E"/>
    <w:rsid w:val="00BF27BA"/>
    <w:rsid w:val="00BF32F0"/>
    <w:rsid w:val="00C6116E"/>
    <w:rsid w:val="00C81B5E"/>
    <w:rsid w:val="00CA37BB"/>
    <w:rsid w:val="00D10A2F"/>
    <w:rsid w:val="00D324B3"/>
    <w:rsid w:val="00D52A05"/>
    <w:rsid w:val="00D53E82"/>
    <w:rsid w:val="00D665CF"/>
    <w:rsid w:val="00D75220"/>
    <w:rsid w:val="00D77BA8"/>
    <w:rsid w:val="00DF55B9"/>
    <w:rsid w:val="00E21C38"/>
    <w:rsid w:val="00E3032A"/>
    <w:rsid w:val="00E8288E"/>
    <w:rsid w:val="00EC39C3"/>
    <w:rsid w:val="00F102D6"/>
    <w:rsid w:val="00F1087D"/>
    <w:rsid w:val="00F13ED5"/>
    <w:rsid w:val="00F17AD6"/>
    <w:rsid w:val="00F3798A"/>
    <w:rsid w:val="00F417CE"/>
    <w:rsid w:val="00F56418"/>
    <w:rsid w:val="00F56BD4"/>
    <w:rsid w:val="00F9534B"/>
    <w:rsid w:val="00FB5351"/>
    <w:rsid w:val="00FC712B"/>
    <w:rsid w:val="00FD3350"/>
    <w:rsid w:val="00FF4325"/>
    <w:rsid w:val="01184567"/>
    <w:rsid w:val="015C2B0C"/>
    <w:rsid w:val="01640BBE"/>
    <w:rsid w:val="01EF1068"/>
    <w:rsid w:val="021D673F"/>
    <w:rsid w:val="022A69C7"/>
    <w:rsid w:val="025939FD"/>
    <w:rsid w:val="02750329"/>
    <w:rsid w:val="02BD75DA"/>
    <w:rsid w:val="02D23007"/>
    <w:rsid w:val="02E833A2"/>
    <w:rsid w:val="035C6585"/>
    <w:rsid w:val="038500F8"/>
    <w:rsid w:val="039B5B6E"/>
    <w:rsid w:val="03A569EC"/>
    <w:rsid w:val="042B730B"/>
    <w:rsid w:val="04B5611B"/>
    <w:rsid w:val="04C63C0C"/>
    <w:rsid w:val="04D023C0"/>
    <w:rsid w:val="04FA4241"/>
    <w:rsid w:val="05023073"/>
    <w:rsid w:val="050D4DC7"/>
    <w:rsid w:val="051A6F66"/>
    <w:rsid w:val="051C0314"/>
    <w:rsid w:val="057C377D"/>
    <w:rsid w:val="05AF4E0C"/>
    <w:rsid w:val="05B20F4D"/>
    <w:rsid w:val="05CF2E2B"/>
    <w:rsid w:val="05D620A0"/>
    <w:rsid w:val="06186F4B"/>
    <w:rsid w:val="061A7DF9"/>
    <w:rsid w:val="06500E91"/>
    <w:rsid w:val="067C1E51"/>
    <w:rsid w:val="0693639D"/>
    <w:rsid w:val="06CC4290"/>
    <w:rsid w:val="06F965CB"/>
    <w:rsid w:val="07363EE5"/>
    <w:rsid w:val="07BB2682"/>
    <w:rsid w:val="07C54C87"/>
    <w:rsid w:val="07CF535D"/>
    <w:rsid w:val="080122B1"/>
    <w:rsid w:val="08331E81"/>
    <w:rsid w:val="08346D01"/>
    <w:rsid w:val="084A33EF"/>
    <w:rsid w:val="087A5275"/>
    <w:rsid w:val="087C3466"/>
    <w:rsid w:val="08D46910"/>
    <w:rsid w:val="08E16B89"/>
    <w:rsid w:val="08FC0E5C"/>
    <w:rsid w:val="09037EDC"/>
    <w:rsid w:val="092B7994"/>
    <w:rsid w:val="09615163"/>
    <w:rsid w:val="09BA0456"/>
    <w:rsid w:val="09BC683E"/>
    <w:rsid w:val="09CA0B1C"/>
    <w:rsid w:val="0A15050F"/>
    <w:rsid w:val="0A3463D4"/>
    <w:rsid w:val="0A454A85"/>
    <w:rsid w:val="0A482E4A"/>
    <w:rsid w:val="0AA572D2"/>
    <w:rsid w:val="0AB063A2"/>
    <w:rsid w:val="0B091B3D"/>
    <w:rsid w:val="0B3F0AB5"/>
    <w:rsid w:val="0B564557"/>
    <w:rsid w:val="0B993593"/>
    <w:rsid w:val="0B9D5584"/>
    <w:rsid w:val="0BC140B0"/>
    <w:rsid w:val="0BE37935"/>
    <w:rsid w:val="0BE5207C"/>
    <w:rsid w:val="0BF216C7"/>
    <w:rsid w:val="0C0B67CA"/>
    <w:rsid w:val="0C18060F"/>
    <w:rsid w:val="0C1F5B46"/>
    <w:rsid w:val="0C4360FE"/>
    <w:rsid w:val="0C4811F7"/>
    <w:rsid w:val="0C4B22F8"/>
    <w:rsid w:val="0C7A56D7"/>
    <w:rsid w:val="0C9909AF"/>
    <w:rsid w:val="0CBB4B8B"/>
    <w:rsid w:val="0D1A3FA7"/>
    <w:rsid w:val="0D1D7445"/>
    <w:rsid w:val="0D6E0725"/>
    <w:rsid w:val="0D8145D3"/>
    <w:rsid w:val="0D84744D"/>
    <w:rsid w:val="0D9307C3"/>
    <w:rsid w:val="0DB42190"/>
    <w:rsid w:val="0DD203DE"/>
    <w:rsid w:val="0DD3072B"/>
    <w:rsid w:val="0DD84401"/>
    <w:rsid w:val="0E444F47"/>
    <w:rsid w:val="0E686F94"/>
    <w:rsid w:val="0E6E3480"/>
    <w:rsid w:val="0EAF3FEA"/>
    <w:rsid w:val="0EC5583A"/>
    <w:rsid w:val="0EE3661B"/>
    <w:rsid w:val="0EE54141"/>
    <w:rsid w:val="0F084230"/>
    <w:rsid w:val="0F381CFB"/>
    <w:rsid w:val="0F7A2ADB"/>
    <w:rsid w:val="0F7B5AFA"/>
    <w:rsid w:val="0FA5233F"/>
    <w:rsid w:val="0FAD2E15"/>
    <w:rsid w:val="0FD146C5"/>
    <w:rsid w:val="0FE158E0"/>
    <w:rsid w:val="0FFB2E19"/>
    <w:rsid w:val="101F3DCF"/>
    <w:rsid w:val="10207243"/>
    <w:rsid w:val="10265D46"/>
    <w:rsid w:val="104770C4"/>
    <w:rsid w:val="108300B5"/>
    <w:rsid w:val="10D16104"/>
    <w:rsid w:val="1102076E"/>
    <w:rsid w:val="110B7CE6"/>
    <w:rsid w:val="111827EC"/>
    <w:rsid w:val="11484C65"/>
    <w:rsid w:val="119168EF"/>
    <w:rsid w:val="11C73FD2"/>
    <w:rsid w:val="11CB5870"/>
    <w:rsid w:val="120C3966"/>
    <w:rsid w:val="123659C9"/>
    <w:rsid w:val="12905295"/>
    <w:rsid w:val="12E77951"/>
    <w:rsid w:val="12F05A5E"/>
    <w:rsid w:val="131B64E3"/>
    <w:rsid w:val="13675A6C"/>
    <w:rsid w:val="1395583F"/>
    <w:rsid w:val="13A40DD7"/>
    <w:rsid w:val="13B3194D"/>
    <w:rsid w:val="13C05029"/>
    <w:rsid w:val="13C702B9"/>
    <w:rsid w:val="140D666A"/>
    <w:rsid w:val="146927B7"/>
    <w:rsid w:val="14901C9F"/>
    <w:rsid w:val="14EC0E8D"/>
    <w:rsid w:val="14FF34B6"/>
    <w:rsid w:val="151F5A1F"/>
    <w:rsid w:val="15634011"/>
    <w:rsid w:val="15714980"/>
    <w:rsid w:val="15BF5B9F"/>
    <w:rsid w:val="15BF5C2B"/>
    <w:rsid w:val="15D3745C"/>
    <w:rsid w:val="160A53B3"/>
    <w:rsid w:val="160D7DE5"/>
    <w:rsid w:val="162A65FE"/>
    <w:rsid w:val="1654353F"/>
    <w:rsid w:val="165A18B8"/>
    <w:rsid w:val="169D2929"/>
    <w:rsid w:val="169E1486"/>
    <w:rsid w:val="16CD208A"/>
    <w:rsid w:val="16D539C0"/>
    <w:rsid w:val="16ED44DA"/>
    <w:rsid w:val="16F675A4"/>
    <w:rsid w:val="17126FA2"/>
    <w:rsid w:val="171952CF"/>
    <w:rsid w:val="17A50E90"/>
    <w:rsid w:val="17F16E39"/>
    <w:rsid w:val="17F3167D"/>
    <w:rsid w:val="18802F86"/>
    <w:rsid w:val="18C140E3"/>
    <w:rsid w:val="18C53D00"/>
    <w:rsid w:val="18E526BB"/>
    <w:rsid w:val="18F00E71"/>
    <w:rsid w:val="18F27317"/>
    <w:rsid w:val="1901283B"/>
    <w:rsid w:val="190C3074"/>
    <w:rsid w:val="19782558"/>
    <w:rsid w:val="198060AB"/>
    <w:rsid w:val="1981715C"/>
    <w:rsid w:val="19923117"/>
    <w:rsid w:val="19996254"/>
    <w:rsid w:val="19B15F8C"/>
    <w:rsid w:val="19CA1792"/>
    <w:rsid w:val="1A5C1707"/>
    <w:rsid w:val="1AAA20FA"/>
    <w:rsid w:val="1ACE3CBC"/>
    <w:rsid w:val="1ADB3B73"/>
    <w:rsid w:val="1ADC3F77"/>
    <w:rsid w:val="1ADD120E"/>
    <w:rsid w:val="1B1B7066"/>
    <w:rsid w:val="1B1D7DD9"/>
    <w:rsid w:val="1B5046E1"/>
    <w:rsid w:val="1B6359C1"/>
    <w:rsid w:val="1B8B6B38"/>
    <w:rsid w:val="1B9E2247"/>
    <w:rsid w:val="1BF75649"/>
    <w:rsid w:val="1BF956CF"/>
    <w:rsid w:val="1C055033"/>
    <w:rsid w:val="1C1621A2"/>
    <w:rsid w:val="1C9121E5"/>
    <w:rsid w:val="1CAD502A"/>
    <w:rsid w:val="1CAE2016"/>
    <w:rsid w:val="1CB54EE0"/>
    <w:rsid w:val="1CE27746"/>
    <w:rsid w:val="1CEB2B47"/>
    <w:rsid w:val="1D26191A"/>
    <w:rsid w:val="1D28001A"/>
    <w:rsid w:val="1D2910FF"/>
    <w:rsid w:val="1D2C098E"/>
    <w:rsid w:val="1D7C3EC2"/>
    <w:rsid w:val="1D835251"/>
    <w:rsid w:val="1D884F5D"/>
    <w:rsid w:val="1DEC2EB5"/>
    <w:rsid w:val="1E5F7717"/>
    <w:rsid w:val="1E6A550C"/>
    <w:rsid w:val="1E6D7CAF"/>
    <w:rsid w:val="1E8F7A93"/>
    <w:rsid w:val="1ECB1D80"/>
    <w:rsid w:val="1ED01768"/>
    <w:rsid w:val="1EDA5D7D"/>
    <w:rsid w:val="1F0C571A"/>
    <w:rsid w:val="1F2368D5"/>
    <w:rsid w:val="1F5817D8"/>
    <w:rsid w:val="1F964BB8"/>
    <w:rsid w:val="1FA00F50"/>
    <w:rsid w:val="1FD71D57"/>
    <w:rsid w:val="1FEB3649"/>
    <w:rsid w:val="1FF93EF0"/>
    <w:rsid w:val="1FFA4DD7"/>
    <w:rsid w:val="20014042"/>
    <w:rsid w:val="200A1C59"/>
    <w:rsid w:val="20374719"/>
    <w:rsid w:val="203F425F"/>
    <w:rsid w:val="206104AB"/>
    <w:rsid w:val="20790B8D"/>
    <w:rsid w:val="20823D54"/>
    <w:rsid w:val="20A43B9A"/>
    <w:rsid w:val="20B6663D"/>
    <w:rsid w:val="20C52DD8"/>
    <w:rsid w:val="20CA3197"/>
    <w:rsid w:val="21050366"/>
    <w:rsid w:val="212C5413"/>
    <w:rsid w:val="21BA3905"/>
    <w:rsid w:val="22111D4E"/>
    <w:rsid w:val="221E4DA8"/>
    <w:rsid w:val="2221173E"/>
    <w:rsid w:val="22A021A4"/>
    <w:rsid w:val="22A2261D"/>
    <w:rsid w:val="22A53EBB"/>
    <w:rsid w:val="22E212BD"/>
    <w:rsid w:val="22E569AE"/>
    <w:rsid w:val="22EE34E8"/>
    <w:rsid w:val="232C1EE7"/>
    <w:rsid w:val="234367DD"/>
    <w:rsid w:val="2398619C"/>
    <w:rsid w:val="23A23246"/>
    <w:rsid w:val="23AD747C"/>
    <w:rsid w:val="23D16097"/>
    <w:rsid w:val="23FC1649"/>
    <w:rsid w:val="243674C1"/>
    <w:rsid w:val="246D3A9C"/>
    <w:rsid w:val="24770EC6"/>
    <w:rsid w:val="24771F35"/>
    <w:rsid w:val="24FC6017"/>
    <w:rsid w:val="25411AFB"/>
    <w:rsid w:val="256D244F"/>
    <w:rsid w:val="25AD6B0D"/>
    <w:rsid w:val="25B22AFD"/>
    <w:rsid w:val="26057187"/>
    <w:rsid w:val="26337C4D"/>
    <w:rsid w:val="26415830"/>
    <w:rsid w:val="264E75FD"/>
    <w:rsid w:val="26626735"/>
    <w:rsid w:val="26BD1A51"/>
    <w:rsid w:val="26D233BC"/>
    <w:rsid w:val="26EA6341"/>
    <w:rsid w:val="272E26D1"/>
    <w:rsid w:val="27514612"/>
    <w:rsid w:val="275B2C09"/>
    <w:rsid w:val="27C50B33"/>
    <w:rsid w:val="27DD33A8"/>
    <w:rsid w:val="27F656AB"/>
    <w:rsid w:val="28291CBC"/>
    <w:rsid w:val="28321E0F"/>
    <w:rsid w:val="28416434"/>
    <w:rsid w:val="28782634"/>
    <w:rsid w:val="29037B8D"/>
    <w:rsid w:val="294D38F3"/>
    <w:rsid w:val="2967011C"/>
    <w:rsid w:val="297E776D"/>
    <w:rsid w:val="29D64955"/>
    <w:rsid w:val="2A0863BE"/>
    <w:rsid w:val="2A27015F"/>
    <w:rsid w:val="2A364537"/>
    <w:rsid w:val="2A6A4F25"/>
    <w:rsid w:val="2A7C19A5"/>
    <w:rsid w:val="2AC800C8"/>
    <w:rsid w:val="2ADE7F6A"/>
    <w:rsid w:val="2AF72346"/>
    <w:rsid w:val="2B0C0F7B"/>
    <w:rsid w:val="2B0E58B3"/>
    <w:rsid w:val="2B233A94"/>
    <w:rsid w:val="2B464ADA"/>
    <w:rsid w:val="2B525592"/>
    <w:rsid w:val="2B7304A2"/>
    <w:rsid w:val="2C0E0D23"/>
    <w:rsid w:val="2C343051"/>
    <w:rsid w:val="2C4106F5"/>
    <w:rsid w:val="2C507AD5"/>
    <w:rsid w:val="2CEE6286"/>
    <w:rsid w:val="2CF47017"/>
    <w:rsid w:val="2D0F4C2F"/>
    <w:rsid w:val="2D5C0C70"/>
    <w:rsid w:val="2D653D1D"/>
    <w:rsid w:val="2D6953FD"/>
    <w:rsid w:val="2DBE0ECB"/>
    <w:rsid w:val="2DDD275B"/>
    <w:rsid w:val="2DEC6C60"/>
    <w:rsid w:val="2DFA5B45"/>
    <w:rsid w:val="2E2F6D2F"/>
    <w:rsid w:val="2E405253"/>
    <w:rsid w:val="2E47276C"/>
    <w:rsid w:val="2E7A22E1"/>
    <w:rsid w:val="2E9A064C"/>
    <w:rsid w:val="2F171C9D"/>
    <w:rsid w:val="2F3320DE"/>
    <w:rsid w:val="2F6C1E8E"/>
    <w:rsid w:val="2F8F3F29"/>
    <w:rsid w:val="2F9939F3"/>
    <w:rsid w:val="2FB50EE5"/>
    <w:rsid w:val="2FBC62A5"/>
    <w:rsid w:val="2FDB4900"/>
    <w:rsid w:val="3013141C"/>
    <w:rsid w:val="30566085"/>
    <w:rsid w:val="30D342E9"/>
    <w:rsid w:val="30DC4F4C"/>
    <w:rsid w:val="30ED53AB"/>
    <w:rsid w:val="30EF07B5"/>
    <w:rsid w:val="30F229C1"/>
    <w:rsid w:val="31034ECA"/>
    <w:rsid w:val="310F0CC3"/>
    <w:rsid w:val="313F7E0A"/>
    <w:rsid w:val="31541769"/>
    <w:rsid w:val="31554CFE"/>
    <w:rsid w:val="319F44BB"/>
    <w:rsid w:val="31AB08CF"/>
    <w:rsid w:val="320E1D12"/>
    <w:rsid w:val="323377BF"/>
    <w:rsid w:val="325C472C"/>
    <w:rsid w:val="32701DFC"/>
    <w:rsid w:val="32CC2D9E"/>
    <w:rsid w:val="32E4633A"/>
    <w:rsid w:val="32FF2C39"/>
    <w:rsid w:val="330E3F00"/>
    <w:rsid w:val="331210F9"/>
    <w:rsid w:val="33302999"/>
    <w:rsid w:val="334E7314"/>
    <w:rsid w:val="33B5029C"/>
    <w:rsid w:val="34050CBD"/>
    <w:rsid w:val="348E0C53"/>
    <w:rsid w:val="34AB40F2"/>
    <w:rsid w:val="34D25B6F"/>
    <w:rsid w:val="34DF6E1B"/>
    <w:rsid w:val="34F75D34"/>
    <w:rsid w:val="35075A3D"/>
    <w:rsid w:val="352660B5"/>
    <w:rsid w:val="35307CB9"/>
    <w:rsid w:val="354A2064"/>
    <w:rsid w:val="356E3DC6"/>
    <w:rsid w:val="35C77B3B"/>
    <w:rsid w:val="35C93380"/>
    <w:rsid w:val="35D21729"/>
    <w:rsid w:val="35D445C7"/>
    <w:rsid w:val="360F7B72"/>
    <w:rsid w:val="362E305B"/>
    <w:rsid w:val="367774C5"/>
    <w:rsid w:val="369A782E"/>
    <w:rsid w:val="36B337A6"/>
    <w:rsid w:val="36D641EB"/>
    <w:rsid w:val="370C414F"/>
    <w:rsid w:val="373D6C81"/>
    <w:rsid w:val="37435E35"/>
    <w:rsid w:val="379911F8"/>
    <w:rsid w:val="37AB0A20"/>
    <w:rsid w:val="37E64817"/>
    <w:rsid w:val="38213B8C"/>
    <w:rsid w:val="385C0C16"/>
    <w:rsid w:val="3866119D"/>
    <w:rsid w:val="387B47CC"/>
    <w:rsid w:val="38C66483"/>
    <w:rsid w:val="390D1BFD"/>
    <w:rsid w:val="39184F8F"/>
    <w:rsid w:val="39615A4F"/>
    <w:rsid w:val="39B369AA"/>
    <w:rsid w:val="39EB26A4"/>
    <w:rsid w:val="3A09729A"/>
    <w:rsid w:val="3A0B7DBD"/>
    <w:rsid w:val="3A127C30"/>
    <w:rsid w:val="3A220C58"/>
    <w:rsid w:val="3A371758"/>
    <w:rsid w:val="3A3A2CE3"/>
    <w:rsid w:val="3A930BE2"/>
    <w:rsid w:val="3AA12D62"/>
    <w:rsid w:val="3AA94750"/>
    <w:rsid w:val="3AAB3E73"/>
    <w:rsid w:val="3B181276"/>
    <w:rsid w:val="3B4D7BFE"/>
    <w:rsid w:val="3B4F45D0"/>
    <w:rsid w:val="3B5822BE"/>
    <w:rsid w:val="3BCC29D5"/>
    <w:rsid w:val="3C4D6CFE"/>
    <w:rsid w:val="3C680F15"/>
    <w:rsid w:val="3C823306"/>
    <w:rsid w:val="3C926E07"/>
    <w:rsid w:val="3C9309A9"/>
    <w:rsid w:val="3CAF40F6"/>
    <w:rsid w:val="3CFB0E50"/>
    <w:rsid w:val="3D29215E"/>
    <w:rsid w:val="3D3E0D74"/>
    <w:rsid w:val="3D987AD7"/>
    <w:rsid w:val="3DA2751D"/>
    <w:rsid w:val="3DD317E2"/>
    <w:rsid w:val="3DE062A0"/>
    <w:rsid w:val="3E277456"/>
    <w:rsid w:val="3E704F26"/>
    <w:rsid w:val="3E9926CE"/>
    <w:rsid w:val="3EF84CBE"/>
    <w:rsid w:val="3F1E3247"/>
    <w:rsid w:val="3F7722E4"/>
    <w:rsid w:val="3F835833"/>
    <w:rsid w:val="3FAC6776"/>
    <w:rsid w:val="3FB457A2"/>
    <w:rsid w:val="3FDF6807"/>
    <w:rsid w:val="404B2AB1"/>
    <w:rsid w:val="40644F5E"/>
    <w:rsid w:val="40906AC2"/>
    <w:rsid w:val="40FF3318"/>
    <w:rsid w:val="41045CE9"/>
    <w:rsid w:val="41270465"/>
    <w:rsid w:val="41422591"/>
    <w:rsid w:val="416845DA"/>
    <w:rsid w:val="41C7689D"/>
    <w:rsid w:val="41EB76E9"/>
    <w:rsid w:val="421309EA"/>
    <w:rsid w:val="42186000"/>
    <w:rsid w:val="421C082F"/>
    <w:rsid w:val="42471B37"/>
    <w:rsid w:val="424A062A"/>
    <w:rsid w:val="42565831"/>
    <w:rsid w:val="42682EF1"/>
    <w:rsid w:val="43A74F98"/>
    <w:rsid w:val="43C43E7A"/>
    <w:rsid w:val="43DD433B"/>
    <w:rsid w:val="442229E7"/>
    <w:rsid w:val="442A6274"/>
    <w:rsid w:val="442F6218"/>
    <w:rsid w:val="4439619F"/>
    <w:rsid w:val="4440120C"/>
    <w:rsid w:val="447E358A"/>
    <w:rsid w:val="4493196E"/>
    <w:rsid w:val="44A738FA"/>
    <w:rsid w:val="44C15105"/>
    <w:rsid w:val="44D16CA0"/>
    <w:rsid w:val="44F32707"/>
    <w:rsid w:val="45400AFB"/>
    <w:rsid w:val="459E630D"/>
    <w:rsid w:val="45B572B8"/>
    <w:rsid w:val="45F97EF6"/>
    <w:rsid w:val="46030B23"/>
    <w:rsid w:val="4613720A"/>
    <w:rsid w:val="465758BB"/>
    <w:rsid w:val="467A16B4"/>
    <w:rsid w:val="4695585D"/>
    <w:rsid w:val="469841DE"/>
    <w:rsid w:val="46A402FE"/>
    <w:rsid w:val="46D53BDF"/>
    <w:rsid w:val="46FA2178"/>
    <w:rsid w:val="47006334"/>
    <w:rsid w:val="473D3E13"/>
    <w:rsid w:val="474F593B"/>
    <w:rsid w:val="47864942"/>
    <w:rsid w:val="47F826EF"/>
    <w:rsid w:val="480E142F"/>
    <w:rsid w:val="483376F0"/>
    <w:rsid w:val="483D1BFE"/>
    <w:rsid w:val="485D4A4B"/>
    <w:rsid w:val="486A6177"/>
    <w:rsid w:val="48961A2D"/>
    <w:rsid w:val="48BE6D47"/>
    <w:rsid w:val="48D3113E"/>
    <w:rsid w:val="49060960"/>
    <w:rsid w:val="491F7C74"/>
    <w:rsid w:val="492C5D96"/>
    <w:rsid w:val="493C0826"/>
    <w:rsid w:val="49437E06"/>
    <w:rsid w:val="49BA174B"/>
    <w:rsid w:val="4A1B55DD"/>
    <w:rsid w:val="4A2B43F6"/>
    <w:rsid w:val="4A3D0E07"/>
    <w:rsid w:val="4A901238"/>
    <w:rsid w:val="4AC07235"/>
    <w:rsid w:val="4AE767F3"/>
    <w:rsid w:val="4AEF3676"/>
    <w:rsid w:val="4B3B0528"/>
    <w:rsid w:val="4B3F6129"/>
    <w:rsid w:val="4B441C14"/>
    <w:rsid w:val="4B444CAC"/>
    <w:rsid w:val="4B501DBF"/>
    <w:rsid w:val="4C1F6A9B"/>
    <w:rsid w:val="4C3855BB"/>
    <w:rsid w:val="4CE90CC5"/>
    <w:rsid w:val="4CF0209D"/>
    <w:rsid w:val="4D04165B"/>
    <w:rsid w:val="4D0C6B88"/>
    <w:rsid w:val="4D1B4BF6"/>
    <w:rsid w:val="4DBB4542"/>
    <w:rsid w:val="4DDD0570"/>
    <w:rsid w:val="4E22797B"/>
    <w:rsid w:val="4E3316F2"/>
    <w:rsid w:val="4E8808D8"/>
    <w:rsid w:val="4E8F764A"/>
    <w:rsid w:val="4ECF6248"/>
    <w:rsid w:val="4EF57C42"/>
    <w:rsid w:val="4EF6124C"/>
    <w:rsid w:val="4F4E4E0F"/>
    <w:rsid w:val="4F8C61B4"/>
    <w:rsid w:val="4FFB7CBC"/>
    <w:rsid w:val="503201EC"/>
    <w:rsid w:val="508740E5"/>
    <w:rsid w:val="50E104DF"/>
    <w:rsid w:val="51271DBC"/>
    <w:rsid w:val="514630BC"/>
    <w:rsid w:val="514A23F2"/>
    <w:rsid w:val="51632B36"/>
    <w:rsid w:val="516C2F33"/>
    <w:rsid w:val="51E3650C"/>
    <w:rsid w:val="52291B63"/>
    <w:rsid w:val="525F3E0F"/>
    <w:rsid w:val="52890F33"/>
    <w:rsid w:val="52E934AC"/>
    <w:rsid w:val="530B5687"/>
    <w:rsid w:val="5344251B"/>
    <w:rsid w:val="536A759E"/>
    <w:rsid w:val="541F321E"/>
    <w:rsid w:val="54866F2F"/>
    <w:rsid w:val="54A37489"/>
    <w:rsid w:val="55592260"/>
    <w:rsid w:val="556C0D6F"/>
    <w:rsid w:val="556E620B"/>
    <w:rsid w:val="55B313A7"/>
    <w:rsid w:val="55C522D3"/>
    <w:rsid w:val="56226294"/>
    <w:rsid w:val="562C1C22"/>
    <w:rsid w:val="562E70CC"/>
    <w:rsid w:val="564451BE"/>
    <w:rsid w:val="56763C45"/>
    <w:rsid w:val="567D5FDA"/>
    <w:rsid w:val="56A417B8"/>
    <w:rsid w:val="56AE4F2C"/>
    <w:rsid w:val="56C53D76"/>
    <w:rsid w:val="56E93731"/>
    <w:rsid w:val="5702606B"/>
    <w:rsid w:val="57371D02"/>
    <w:rsid w:val="573E5967"/>
    <w:rsid w:val="57552B9B"/>
    <w:rsid w:val="57964D51"/>
    <w:rsid w:val="579C66CA"/>
    <w:rsid w:val="579E601C"/>
    <w:rsid w:val="57AC2B6C"/>
    <w:rsid w:val="57FC5D21"/>
    <w:rsid w:val="58597656"/>
    <w:rsid w:val="585F3CF0"/>
    <w:rsid w:val="586B76C2"/>
    <w:rsid w:val="588817BB"/>
    <w:rsid w:val="588D77A9"/>
    <w:rsid w:val="58AC2AE0"/>
    <w:rsid w:val="58B43EFA"/>
    <w:rsid w:val="58C31833"/>
    <w:rsid w:val="59376914"/>
    <w:rsid w:val="593E7576"/>
    <w:rsid w:val="59425701"/>
    <w:rsid w:val="594613D7"/>
    <w:rsid w:val="595158B5"/>
    <w:rsid w:val="595161BF"/>
    <w:rsid w:val="59C72A09"/>
    <w:rsid w:val="59D1359C"/>
    <w:rsid w:val="5A1A070F"/>
    <w:rsid w:val="5A89319F"/>
    <w:rsid w:val="5ACF5A85"/>
    <w:rsid w:val="5B092532"/>
    <w:rsid w:val="5B1C3576"/>
    <w:rsid w:val="5B2D7FCE"/>
    <w:rsid w:val="5B6B4F9B"/>
    <w:rsid w:val="5B751328"/>
    <w:rsid w:val="5B837D6A"/>
    <w:rsid w:val="5B8E38C0"/>
    <w:rsid w:val="5BA81D4B"/>
    <w:rsid w:val="5BE35AC4"/>
    <w:rsid w:val="5BFD361F"/>
    <w:rsid w:val="5C8E7193"/>
    <w:rsid w:val="5C9B5759"/>
    <w:rsid w:val="5CA02A22"/>
    <w:rsid w:val="5CC57E46"/>
    <w:rsid w:val="5D3400CE"/>
    <w:rsid w:val="5D4A1E7A"/>
    <w:rsid w:val="5D963448"/>
    <w:rsid w:val="5DB524FD"/>
    <w:rsid w:val="5DC82230"/>
    <w:rsid w:val="5DE828D3"/>
    <w:rsid w:val="5E056FE1"/>
    <w:rsid w:val="5E1F4286"/>
    <w:rsid w:val="5E457D25"/>
    <w:rsid w:val="5E931C5D"/>
    <w:rsid w:val="5EA332C0"/>
    <w:rsid w:val="5EA94901"/>
    <w:rsid w:val="5ED51534"/>
    <w:rsid w:val="5EDC2437"/>
    <w:rsid w:val="5F2D226A"/>
    <w:rsid w:val="5F3F636E"/>
    <w:rsid w:val="5F5554C1"/>
    <w:rsid w:val="5F6A335E"/>
    <w:rsid w:val="5F7E529D"/>
    <w:rsid w:val="5F94244E"/>
    <w:rsid w:val="5FC92290"/>
    <w:rsid w:val="6017749F"/>
    <w:rsid w:val="602D191F"/>
    <w:rsid w:val="606721D5"/>
    <w:rsid w:val="60675917"/>
    <w:rsid w:val="60B655C0"/>
    <w:rsid w:val="60BB60FF"/>
    <w:rsid w:val="60F82E2D"/>
    <w:rsid w:val="611616B7"/>
    <w:rsid w:val="612036B8"/>
    <w:rsid w:val="6140342E"/>
    <w:rsid w:val="618C48B8"/>
    <w:rsid w:val="618D6CB5"/>
    <w:rsid w:val="619031FE"/>
    <w:rsid w:val="61C91196"/>
    <w:rsid w:val="62156FBD"/>
    <w:rsid w:val="621E253E"/>
    <w:rsid w:val="624D7CDD"/>
    <w:rsid w:val="627D56B9"/>
    <w:rsid w:val="62E418BB"/>
    <w:rsid w:val="63242E5B"/>
    <w:rsid w:val="633D721D"/>
    <w:rsid w:val="63EB0A27"/>
    <w:rsid w:val="64632CB3"/>
    <w:rsid w:val="6470208E"/>
    <w:rsid w:val="64B33C3A"/>
    <w:rsid w:val="64C6151F"/>
    <w:rsid w:val="64EC7A8D"/>
    <w:rsid w:val="64F45A9B"/>
    <w:rsid w:val="65037FF2"/>
    <w:rsid w:val="65073007"/>
    <w:rsid w:val="6509385A"/>
    <w:rsid w:val="651034B3"/>
    <w:rsid w:val="654370B0"/>
    <w:rsid w:val="655F4AD1"/>
    <w:rsid w:val="656941DD"/>
    <w:rsid w:val="65E11E8B"/>
    <w:rsid w:val="660F30F2"/>
    <w:rsid w:val="662F4186"/>
    <w:rsid w:val="666E1D02"/>
    <w:rsid w:val="673B3A73"/>
    <w:rsid w:val="677B47B7"/>
    <w:rsid w:val="67B3056F"/>
    <w:rsid w:val="67BF400C"/>
    <w:rsid w:val="67C3167A"/>
    <w:rsid w:val="680D00D2"/>
    <w:rsid w:val="681744E0"/>
    <w:rsid w:val="68814683"/>
    <w:rsid w:val="68A23F90"/>
    <w:rsid w:val="68CB0E27"/>
    <w:rsid w:val="69025148"/>
    <w:rsid w:val="696236D1"/>
    <w:rsid w:val="699833FF"/>
    <w:rsid w:val="699A4EE6"/>
    <w:rsid w:val="69A05405"/>
    <w:rsid w:val="69A21DB5"/>
    <w:rsid w:val="69A4520A"/>
    <w:rsid w:val="69B01D77"/>
    <w:rsid w:val="69DD6F01"/>
    <w:rsid w:val="6A2151A2"/>
    <w:rsid w:val="6A3D42E7"/>
    <w:rsid w:val="6A6235B7"/>
    <w:rsid w:val="6ABE6E95"/>
    <w:rsid w:val="6AE46A29"/>
    <w:rsid w:val="6AEB17A4"/>
    <w:rsid w:val="6B2760BB"/>
    <w:rsid w:val="6B2F49F7"/>
    <w:rsid w:val="6B3B79FC"/>
    <w:rsid w:val="6B4052DA"/>
    <w:rsid w:val="6B880F07"/>
    <w:rsid w:val="6B8C0D18"/>
    <w:rsid w:val="6BB06098"/>
    <w:rsid w:val="6BC83FF9"/>
    <w:rsid w:val="6C1161AA"/>
    <w:rsid w:val="6C1F7998"/>
    <w:rsid w:val="6C282E17"/>
    <w:rsid w:val="6CDF4E21"/>
    <w:rsid w:val="6D8D20FD"/>
    <w:rsid w:val="6DCC7F54"/>
    <w:rsid w:val="6DD55C33"/>
    <w:rsid w:val="6E6F3B3C"/>
    <w:rsid w:val="6E8918D0"/>
    <w:rsid w:val="6E8D710B"/>
    <w:rsid w:val="6E9817AB"/>
    <w:rsid w:val="6E9C129B"/>
    <w:rsid w:val="6EC32CCC"/>
    <w:rsid w:val="6ECA28F1"/>
    <w:rsid w:val="6ED63729"/>
    <w:rsid w:val="6F0155A2"/>
    <w:rsid w:val="6F165D0E"/>
    <w:rsid w:val="6F4F4AAA"/>
    <w:rsid w:val="7026148A"/>
    <w:rsid w:val="702851B6"/>
    <w:rsid w:val="70747AF5"/>
    <w:rsid w:val="70D80585"/>
    <w:rsid w:val="70DA60AB"/>
    <w:rsid w:val="71514223"/>
    <w:rsid w:val="71754026"/>
    <w:rsid w:val="718B7769"/>
    <w:rsid w:val="71B14779"/>
    <w:rsid w:val="71C11009"/>
    <w:rsid w:val="71DA0690"/>
    <w:rsid w:val="71E548DC"/>
    <w:rsid w:val="720176DC"/>
    <w:rsid w:val="72273572"/>
    <w:rsid w:val="7240139C"/>
    <w:rsid w:val="72406E13"/>
    <w:rsid w:val="727F51DE"/>
    <w:rsid w:val="728D5B70"/>
    <w:rsid w:val="72A44BC2"/>
    <w:rsid w:val="72C7466F"/>
    <w:rsid w:val="72E77928"/>
    <w:rsid w:val="730B4206"/>
    <w:rsid w:val="73311F2E"/>
    <w:rsid w:val="734538B3"/>
    <w:rsid w:val="73C51469"/>
    <w:rsid w:val="73DD6784"/>
    <w:rsid w:val="7459794C"/>
    <w:rsid w:val="74A73DC8"/>
    <w:rsid w:val="75045DEC"/>
    <w:rsid w:val="751B17CA"/>
    <w:rsid w:val="752C5111"/>
    <w:rsid w:val="756648EF"/>
    <w:rsid w:val="75C57255"/>
    <w:rsid w:val="75C630A2"/>
    <w:rsid w:val="75D05028"/>
    <w:rsid w:val="75E57C89"/>
    <w:rsid w:val="75F93BC0"/>
    <w:rsid w:val="76210EC3"/>
    <w:rsid w:val="763228DE"/>
    <w:rsid w:val="76C03F95"/>
    <w:rsid w:val="77047034"/>
    <w:rsid w:val="779062B2"/>
    <w:rsid w:val="779571D0"/>
    <w:rsid w:val="779E09E1"/>
    <w:rsid w:val="77C27FD0"/>
    <w:rsid w:val="77D61BF0"/>
    <w:rsid w:val="77FA5285"/>
    <w:rsid w:val="78557889"/>
    <w:rsid w:val="787B72F5"/>
    <w:rsid w:val="788A7A25"/>
    <w:rsid w:val="78994A9D"/>
    <w:rsid w:val="78D45AB3"/>
    <w:rsid w:val="78EC1071"/>
    <w:rsid w:val="791218EC"/>
    <w:rsid w:val="791906D8"/>
    <w:rsid w:val="793279E4"/>
    <w:rsid w:val="7973709D"/>
    <w:rsid w:val="798026FC"/>
    <w:rsid w:val="798C6C5F"/>
    <w:rsid w:val="799E680F"/>
    <w:rsid w:val="79B24D84"/>
    <w:rsid w:val="7A263201"/>
    <w:rsid w:val="7A540C7C"/>
    <w:rsid w:val="7A99244D"/>
    <w:rsid w:val="7AB45BBF"/>
    <w:rsid w:val="7B0348BD"/>
    <w:rsid w:val="7B220D7A"/>
    <w:rsid w:val="7B2A5CF7"/>
    <w:rsid w:val="7B32428B"/>
    <w:rsid w:val="7B931B18"/>
    <w:rsid w:val="7B9974F9"/>
    <w:rsid w:val="7B9A5581"/>
    <w:rsid w:val="7B9B0B2D"/>
    <w:rsid w:val="7BE34D75"/>
    <w:rsid w:val="7BE40725"/>
    <w:rsid w:val="7C2E4EC9"/>
    <w:rsid w:val="7C3571AC"/>
    <w:rsid w:val="7C5E1E34"/>
    <w:rsid w:val="7C74451B"/>
    <w:rsid w:val="7C7970C0"/>
    <w:rsid w:val="7C7C3BB6"/>
    <w:rsid w:val="7C8D5D0D"/>
    <w:rsid w:val="7C92137A"/>
    <w:rsid w:val="7CAD6D69"/>
    <w:rsid w:val="7CBE516E"/>
    <w:rsid w:val="7CE502B1"/>
    <w:rsid w:val="7CEC1170"/>
    <w:rsid w:val="7CF348C1"/>
    <w:rsid w:val="7D075A15"/>
    <w:rsid w:val="7D172435"/>
    <w:rsid w:val="7D2C5EE0"/>
    <w:rsid w:val="7D300901"/>
    <w:rsid w:val="7D627D20"/>
    <w:rsid w:val="7D8A2C07"/>
    <w:rsid w:val="7D8F73C1"/>
    <w:rsid w:val="7D9A2FBF"/>
    <w:rsid w:val="7DF54524"/>
    <w:rsid w:val="7E136E40"/>
    <w:rsid w:val="7E377F58"/>
    <w:rsid w:val="7E4159BB"/>
    <w:rsid w:val="7EA36676"/>
    <w:rsid w:val="7EAB1087"/>
    <w:rsid w:val="7EF807BB"/>
    <w:rsid w:val="7F076C05"/>
    <w:rsid w:val="7F647934"/>
    <w:rsid w:val="7F6D21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qFormat/>
    <w:uiPriority w:val="1"/>
    <w:pPr>
      <w:spacing w:line="516" w:lineRule="exact"/>
      <w:ind w:right="13"/>
      <w:jc w:val="center"/>
      <w:outlineLvl w:val="0"/>
    </w:pPr>
    <w:rPr>
      <w:rFonts w:ascii="微软雅黑" w:hAnsi="微软雅黑" w:eastAsia="微软雅黑" w:cs="微软雅黑"/>
      <w:b/>
      <w:bCs/>
      <w:sz w:val="32"/>
      <w:szCs w:val="32"/>
    </w:rPr>
  </w:style>
  <w:style w:type="paragraph" w:styleId="5">
    <w:name w:val="heading 2"/>
    <w:basedOn w:val="1"/>
    <w:next w:val="1"/>
    <w:qFormat/>
    <w:uiPriority w:val="1"/>
    <w:pPr>
      <w:jc w:val="center"/>
      <w:outlineLvl w:val="1"/>
    </w:pPr>
    <w:rPr>
      <w:rFonts w:ascii="微软雅黑" w:hAnsi="微软雅黑" w:eastAsia="微软雅黑" w:cs="微软雅黑"/>
      <w:b/>
      <w:bCs/>
      <w:sz w:val="30"/>
      <w:szCs w:val="30"/>
    </w:rPr>
  </w:style>
  <w:style w:type="paragraph" w:styleId="6">
    <w:name w:val="heading 3"/>
    <w:basedOn w:val="1"/>
    <w:next w:val="1"/>
    <w:qFormat/>
    <w:uiPriority w:val="1"/>
    <w:pPr>
      <w:ind w:left="718" w:right="633"/>
      <w:jc w:val="center"/>
      <w:outlineLvl w:val="2"/>
    </w:pPr>
    <w:rPr>
      <w:rFonts w:ascii="微软雅黑" w:hAnsi="微软雅黑" w:eastAsia="微软雅黑" w:cs="微软雅黑"/>
      <w:b/>
      <w:bCs/>
      <w:sz w:val="28"/>
      <w:szCs w:val="28"/>
    </w:rPr>
  </w:style>
  <w:style w:type="paragraph" w:styleId="7">
    <w:name w:val="heading 4"/>
    <w:basedOn w:val="1"/>
    <w:next w:val="1"/>
    <w:qFormat/>
    <w:uiPriority w:val="1"/>
    <w:pPr>
      <w:ind w:left="780"/>
      <w:outlineLvl w:val="3"/>
    </w:pPr>
    <w:rPr>
      <w:sz w:val="28"/>
      <w:szCs w:val="28"/>
    </w:rPr>
  </w:style>
  <w:style w:type="paragraph" w:styleId="8">
    <w:name w:val="heading 5"/>
    <w:basedOn w:val="1"/>
    <w:next w:val="1"/>
    <w:qFormat/>
    <w:uiPriority w:val="1"/>
    <w:pPr>
      <w:ind w:left="538"/>
      <w:outlineLvl w:val="4"/>
    </w:pPr>
    <w:rPr>
      <w:rFonts w:ascii="微软雅黑" w:hAnsi="微软雅黑" w:eastAsia="微软雅黑" w:cs="微软雅黑"/>
      <w:b/>
      <w:bCs/>
      <w:sz w:val="24"/>
      <w:szCs w:val="24"/>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1"/>
    <w:rPr>
      <w:sz w:val="24"/>
      <w:szCs w:val="24"/>
    </w:rPr>
  </w:style>
  <w:style w:type="paragraph" w:styleId="3">
    <w:name w:val="Date"/>
    <w:basedOn w:val="1"/>
    <w:next w:val="1"/>
    <w:qFormat/>
    <w:uiPriority w:val="0"/>
    <w:pPr>
      <w:ind w:left="100" w:leftChars="2500"/>
    </w:pPr>
  </w:style>
  <w:style w:type="paragraph" w:styleId="9">
    <w:name w:val="annotation text"/>
    <w:basedOn w:val="1"/>
    <w:link w:val="46"/>
    <w:qFormat/>
    <w:uiPriority w:val="0"/>
  </w:style>
  <w:style w:type="paragraph" w:styleId="10">
    <w:name w:val="Body Text Indent"/>
    <w:basedOn w:val="1"/>
    <w:next w:val="11"/>
    <w:qFormat/>
    <w:uiPriority w:val="0"/>
    <w:pPr>
      <w:spacing w:after="120"/>
      <w:ind w:left="420" w:leftChars="200"/>
    </w:pPr>
  </w:style>
  <w:style w:type="paragraph" w:styleId="11">
    <w:name w:val="envelope return"/>
    <w:basedOn w:val="1"/>
    <w:qFormat/>
    <w:uiPriority w:val="0"/>
    <w:pPr>
      <w:snapToGrid w:val="0"/>
    </w:pPr>
    <w:rPr>
      <w:rFonts w:ascii="Arial" w:hAnsi="Arial" w:cs="Arial"/>
    </w:rPr>
  </w:style>
  <w:style w:type="paragraph" w:styleId="12">
    <w:name w:val="toc 3"/>
    <w:basedOn w:val="1"/>
    <w:next w:val="1"/>
    <w:qFormat/>
    <w:uiPriority w:val="0"/>
    <w:pPr>
      <w:ind w:left="840" w:leftChars="400"/>
    </w:pPr>
  </w:style>
  <w:style w:type="paragraph" w:styleId="13">
    <w:name w:val="Plain Text"/>
    <w:basedOn w:val="1"/>
    <w:qFormat/>
    <w:uiPriority w:val="0"/>
    <w:rPr>
      <w:rFonts w:hAnsi="Courier New" w:cs="Courier New"/>
      <w:szCs w:val="21"/>
    </w:rPr>
  </w:style>
  <w:style w:type="paragraph" w:styleId="14">
    <w:name w:val="Balloon Text"/>
    <w:basedOn w:val="1"/>
    <w:link w:val="45"/>
    <w:qFormat/>
    <w:uiPriority w:val="0"/>
    <w:rPr>
      <w:sz w:val="18"/>
      <w:szCs w:val="18"/>
    </w:rPr>
  </w:style>
  <w:style w:type="paragraph" w:styleId="15">
    <w:name w:val="footer"/>
    <w:basedOn w:val="1"/>
    <w:link w:val="50"/>
    <w:qFormat/>
    <w:uiPriority w:val="0"/>
    <w:pPr>
      <w:tabs>
        <w:tab w:val="center" w:pos="4153"/>
        <w:tab w:val="right" w:pos="8306"/>
      </w:tabs>
      <w:snapToGrid w:val="0"/>
    </w:pPr>
    <w:rPr>
      <w:sz w:val="18"/>
      <w:szCs w:val="18"/>
    </w:rPr>
  </w:style>
  <w:style w:type="paragraph" w:styleId="16">
    <w:name w:val="header"/>
    <w:basedOn w:val="1"/>
    <w:link w:val="49"/>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0"/>
  </w:style>
  <w:style w:type="paragraph" w:styleId="18">
    <w:name w:val="toc 4"/>
    <w:basedOn w:val="1"/>
    <w:next w:val="1"/>
    <w:qFormat/>
    <w:uiPriority w:val="0"/>
    <w:pPr>
      <w:adjustRightInd w:val="0"/>
      <w:snapToGrid w:val="0"/>
      <w:spacing w:before="62" w:beforeLines="20" w:after="62" w:afterLines="20"/>
      <w:ind w:left="630"/>
    </w:pPr>
    <w:rPr>
      <w:rFonts w:ascii="Times New Roman" w:hAnsi="Times New Roman" w:cs="Times New Roman"/>
      <w:sz w:val="24"/>
    </w:rPr>
  </w:style>
  <w:style w:type="paragraph" w:styleId="19">
    <w:name w:val="Subtitle"/>
    <w:basedOn w:val="1"/>
    <w:next w:val="1"/>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20">
    <w:name w:val="toc 2"/>
    <w:basedOn w:val="1"/>
    <w:next w:val="1"/>
    <w:qFormat/>
    <w:uiPriority w:val="0"/>
    <w:pPr>
      <w:ind w:left="420" w:leftChars="200"/>
    </w:pPr>
  </w:style>
  <w:style w:type="paragraph" w:styleId="21">
    <w:name w:val="Normal (Web)"/>
    <w:basedOn w:val="1"/>
    <w:qFormat/>
    <w:uiPriority w:val="99"/>
    <w:pPr>
      <w:widowControl/>
      <w:spacing w:before="100" w:beforeAutospacing="1" w:after="100" w:afterAutospacing="1"/>
    </w:pPr>
    <w:rPr>
      <w:sz w:val="24"/>
    </w:rPr>
  </w:style>
  <w:style w:type="paragraph" w:styleId="22">
    <w:name w:val="annotation subject"/>
    <w:basedOn w:val="9"/>
    <w:next w:val="9"/>
    <w:link w:val="47"/>
    <w:qFormat/>
    <w:uiPriority w:val="0"/>
    <w:rPr>
      <w:b/>
      <w:bCs/>
    </w:rPr>
  </w:style>
  <w:style w:type="paragraph" w:styleId="23">
    <w:name w:val="Body Text First Indent 2"/>
    <w:basedOn w:val="10"/>
    <w:next w:val="1"/>
    <w:qFormat/>
    <w:uiPriority w:val="0"/>
    <w:pPr>
      <w:ind w:firstLine="420" w:firstLineChars="200"/>
    </w:pPr>
    <w:rPr>
      <w:sz w:val="20"/>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style>
  <w:style w:type="character" w:styleId="28">
    <w:name w:val="page number"/>
    <w:basedOn w:val="26"/>
    <w:qFormat/>
    <w:uiPriority w:val="0"/>
  </w:style>
  <w:style w:type="character" w:styleId="29">
    <w:name w:val="FollowedHyperlink"/>
    <w:basedOn w:val="26"/>
    <w:qFormat/>
    <w:uiPriority w:val="0"/>
    <w:rPr>
      <w:color w:val="333333"/>
      <w:u w:val="none"/>
    </w:rPr>
  </w:style>
  <w:style w:type="character" w:styleId="30">
    <w:name w:val="Emphasis"/>
    <w:basedOn w:val="26"/>
    <w:qFormat/>
    <w:uiPriority w:val="0"/>
  </w:style>
  <w:style w:type="character" w:styleId="31">
    <w:name w:val="HTML Definition"/>
    <w:basedOn w:val="26"/>
    <w:qFormat/>
    <w:uiPriority w:val="0"/>
  </w:style>
  <w:style w:type="character" w:styleId="32">
    <w:name w:val="HTML Typewriter"/>
    <w:basedOn w:val="26"/>
    <w:qFormat/>
    <w:uiPriority w:val="0"/>
    <w:rPr>
      <w:rFonts w:hint="default" w:ascii="monospace" w:hAnsi="monospace" w:eastAsia="monospace" w:cs="monospace"/>
      <w:sz w:val="20"/>
    </w:rPr>
  </w:style>
  <w:style w:type="character" w:styleId="33">
    <w:name w:val="HTML Acronym"/>
    <w:basedOn w:val="26"/>
    <w:qFormat/>
    <w:uiPriority w:val="0"/>
  </w:style>
  <w:style w:type="character" w:styleId="34">
    <w:name w:val="HTML Variable"/>
    <w:basedOn w:val="26"/>
    <w:qFormat/>
    <w:uiPriority w:val="0"/>
  </w:style>
  <w:style w:type="character" w:styleId="35">
    <w:name w:val="Hyperlink"/>
    <w:basedOn w:val="26"/>
    <w:qFormat/>
    <w:uiPriority w:val="0"/>
    <w:rPr>
      <w:color w:val="333333"/>
      <w:u w:val="none"/>
    </w:rPr>
  </w:style>
  <w:style w:type="character" w:styleId="36">
    <w:name w:val="HTML Code"/>
    <w:basedOn w:val="26"/>
    <w:qFormat/>
    <w:uiPriority w:val="0"/>
    <w:rPr>
      <w:rFonts w:hint="default" w:ascii="monospace" w:hAnsi="monospace" w:eastAsia="monospace" w:cs="monospace"/>
      <w:sz w:val="20"/>
    </w:rPr>
  </w:style>
  <w:style w:type="character" w:styleId="37">
    <w:name w:val="annotation reference"/>
    <w:basedOn w:val="26"/>
    <w:qFormat/>
    <w:uiPriority w:val="0"/>
    <w:rPr>
      <w:sz w:val="21"/>
      <w:szCs w:val="21"/>
    </w:rPr>
  </w:style>
  <w:style w:type="character" w:styleId="38">
    <w:name w:val="HTML Cite"/>
    <w:basedOn w:val="26"/>
    <w:qFormat/>
    <w:uiPriority w:val="0"/>
  </w:style>
  <w:style w:type="character" w:styleId="39">
    <w:name w:val="HTML Keyboard"/>
    <w:basedOn w:val="26"/>
    <w:qFormat/>
    <w:uiPriority w:val="0"/>
    <w:rPr>
      <w:rFonts w:hint="default" w:ascii="monospace" w:hAnsi="monospace" w:eastAsia="monospace" w:cs="monospace"/>
      <w:sz w:val="20"/>
    </w:rPr>
  </w:style>
  <w:style w:type="character" w:styleId="40">
    <w:name w:val="HTML Sample"/>
    <w:basedOn w:val="26"/>
    <w:qFormat/>
    <w:uiPriority w:val="0"/>
    <w:rPr>
      <w:rFonts w:ascii="monospace" w:hAnsi="monospace" w:eastAsia="monospace" w:cs="monospace"/>
    </w:rPr>
  </w:style>
  <w:style w:type="paragraph" w:customStyle="1" w:styleId="41">
    <w:name w:val="段落大意"/>
    <w:qFormat/>
    <w:uiPriority w:val="0"/>
    <w:pPr>
      <w:snapToGrid w:val="0"/>
      <w:spacing w:line="300" w:lineRule="auto"/>
      <w:ind w:firstLine="200" w:firstLineChars="200"/>
      <w:jc w:val="both"/>
    </w:pPr>
    <w:rPr>
      <w:rFonts w:ascii="方正中等线简体" w:hAnsi="方正中等线简体" w:eastAsia="方正中等线简体" w:cs="方正中等线简体"/>
      <w:kern w:val="2"/>
      <w:sz w:val="21"/>
      <w:szCs w:val="22"/>
      <w:lang w:val="en-US" w:eastAsia="zh-CN" w:bidi="ar-SA"/>
    </w:rPr>
  </w:style>
  <w:style w:type="table" w:customStyle="1" w:styleId="42">
    <w:name w:val="Table Normal"/>
    <w:semiHidden/>
    <w:unhideWhenUsed/>
    <w:qFormat/>
    <w:uiPriority w:val="2"/>
    <w:tblPr>
      <w:tblCellMar>
        <w:top w:w="0" w:type="dxa"/>
        <w:left w:w="0" w:type="dxa"/>
        <w:bottom w:w="0" w:type="dxa"/>
        <w:right w:w="0" w:type="dxa"/>
      </w:tblCellMar>
    </w:tblPr>
  </w:style>
  <w:style w:type="paragraph" w:styleId="43">
    <w:name w:val="List Paragraph"/>
    <w:basedOn w:val="1"/>
    <w:qFormat/>
    <w:uiPriority w:val="1"/>
    <w:pPr>
      <w:ind w:left="538" w:firstLine="480"/>
    </w:pPr>
  </w:style>
  <w:style w:type="paragraph" w:customStyle="1" w:styleId="44">
    <w:name w:val="Table Paragraph"/>
    <w:basedOn w:val="1"/>
    <w:qFormat/>
    <w:uiPriority w:val="1"/>
  </w:style>
  <w:style w:type="character" w:customStyle="1" w:styleId="45">
    <w:name w:val="批注框文本 字符"/>
    <w:basedOn w:val="26"/>
    <w:link w:val="14"/>
    <w:qFormat/>
    <w:uiPriority w:val="0"/>
    <w:rPr>
      <w:rFonts w:ascii="宋体" w:hAnsi="宋体" w:cs="宋体"/>
      <w:sz w:val="18"/>
      <w:szCs w:val="18"/>
      <w:lang w:val="zh-CN" w:bidi="zh-CN"/>
    </w:rPr>
  </w:style>
  <w:style w:type="character" w:customStyle="1" w:styleId="46">
    <w:name w:val="批注文字 字符"/>
    <w:basedOn w:val="26"/>
    <w:link w:val="9"/>
    <w:qFormat/>
    <w:uiPriority w:val="0"/>
    <w:rPr>
      <w:rFonts w:ascii="宋体" w:hAnsi="宋体" w:cs="宋体"/>
      <w:sz w:val="22"/>
      <w:szCs w:val="22"/>
      <w:lang w:val="zh-CN" w:bidi="zh-CN"/>
    </w:rPr>
  </w:style>
  <w:style w:type="character" w:customStyle="1" w:styleId="47">
    <w:name w:val="批注主题 字符"/>
    <w:basedOn w:val="46"/>
    <w:link w:val="22"/>
    <w:qFormat/>
    <w:uiPriority w:val="0"/>
    <w:rPr>
      <w:rFonts w:ascii="宋体" w:hAnsi="宋体" w:cs="宋体"/>
      <w:b/>
      <w:bCs/>
      <w:sz w:val="22"/>
      <w:szCs w:val="22"/>
      <w:lang w:val="zh-CN" w:bidi="zh-CN"/>
    </w:rPr>
  </w:style>
  <w:style w:type="paragraph" w:customStyle="1" w:styleId="48">
    <w:name w:val="修订1"/>
    <w:hidden/>
    <w:semiHidden/>
    <w:qFormat/>
    <w:uiPriority w:val="99"/>
    <w:rPr>
      <w:rFonts w:ascii="宋体" w:hAnsi="宋体" w:eastAsia="宋体" w:cs="宋体"/>
      <w:sz w:val="22"/>
      <w:szCs w:val="22"/>
      <w:lang w:val="zh-CN" w:eastAsia="zh-CN" w:bidi="zh-CN"/>
    </w:rPr>
  </w:style>
  <w:style w:type="character" w:customStyle="1" w:styleId="49">
    <w:name w:val="页眉 字符"/>
    <w:basedOn w:val="26"/>
    <w:link w:val="16"/>
    <w:qFormat/>
    <w:uiPriority w:val="0"/>
    <w:rPr>
      <w:rFonts w:ascii="宋体" w:hAnsi="宋体" w:cs="宋体"/>
      <w:sz w:val="18"/>
      <w:szCs w:val="18"/>
      <w:lang w:val="zh-CN" w:bidi="zh-CN"/>
    </w:rPr>
  </w:style>
  <w:style w:type="character" w:customStyle="1" w:styleId="50">
    <w:name w:val="页脚 字符"/>
    <w:basedOn w:val="26"/>
    <w:link w:val="15"/>
    <w:qFormat/>
    <w:uiPriority w:val="0"/>
    <w:rPr>
      <w:rFonts w:ascii="宋体" w:hAnsi="宋体" w:cs="宋体"/>
      <w:sz w:val="18"/>
      <w:szCs w:val="18"/>
      <w:lang w:val="zh-CN" w:bidi="zh-CN"/>
    </w:rPr>
  </w:style>
  <w:style w:type="paragraph" w:customStyle="1" w:styleId="51">
    <w:name w:val="Revision"/>
    <w:hidden/>
    <w:semiHidden/>
    <w:qFormat/>
    <w:uiPriority w:val="99"/>
    <w:rPr>
      <w:rFonts w:ascii="宋体" w:hAnsi="宋体" w:eastAsia="宋体" w:cs="宋体"/>
      <w:sz w:val="22"/>
      <w:szCs w:val="22"/>
      <w:lang w:val="zh-CN" w:eastAsia="zh-CN" w:bidi="zh-CN"/>
    </w:rPr>
  </w:style>
  <w:style w:type="character" w:customStyle="1" w:styleId="52">
    <w:name w:val="bds_more"/>
    <w:basedOn w:val="26"/>
    <w:qFormat/>
    <w:uiPriority w:val="0"/>
    <w:rPr>
      <w:rFonts w:hint="eastAsia" w:ascii="宋体" w:hAnsi="宋体" w:eastAsia="宋体" w:cs="宋体"/>
    </w:rPr>
  </w:style>
  <w:style w:type="character" w:customStyle="1" w:styleId="53">
    <w:name w:val="bds_more1"/>
    <w:basedOn w:val="26"/>
    <w:qFormat/>
    <w:uiPriority w:val="0"/>
  </w:style>
  <w:style w:type="character" w:customStyle="1" w:styleId="54">
    <w:name w:val="bds_more2"/>
    <w:basedOn w:val="26"/>
    <w:qFormat/>
    <w:uiPriority w:val="0"/>
  </w:style>
  <w:style w:type="character" w:customStyle="1" w:styleId="55">
    <w:name w:val="bds_nopic"/>
    <w:basedOn w:val="26"/>
    <w:qFormat/>
    <w:uiPriority w:val="0"/>
  </w:style>
  <w:style w:type="character" w:customStyle="1" w:styleId="56">
    <w:name w:val="bds_more3"/>
    <w:basedOn w:val="26"/>
    <w:qFormat/>
    <w:uiPriority w:val="0"/>
    <w:rPr>
      <w:rFonts w:hint="eastAsia" w:ascii="宋体" w:hAnsi="宋体" w:eastAsia="宋体" w:cs="宋体"/>
    </w:rPr>
  </w:style>
  <w:style w:type="character" w:customStyle="1" w:styleId="57">
    <w:name w:val="bds_more4"/>
    <w:basedOn w:val="26"/>
    <w:qFormat/>
    <w:uiPriority w:val="0"/>
  </w:style>
  <w:style w:type="paragraph" w:customStyle="1" w:styleId="5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59">
    <w:name w:val="font21"/>
    <w:basedOn w:val="26"/>
    <w:qFormat/>
    <w:uiPriority w:val="0"/>
    <w:rPr>
      <w:rFonts w:ascii="Arial" w:hAnsi="Arial" w:cs="Arial"/>
      <w:color w:val="000000"/>
      <w:sz w:val="20"/>
      <w:szCs w:val="20"/>
      <w:u w:val="none"/>
    </w:rPr>
  </w:style>
  <w:style w:type="character" w:customStyle="1" w:styleId="60">
    <w:name w:val="font11"/>
    <w:basedOn w:val="26"/>
    <w:qFormat/>
    <w:uiPriority w:val="0"/>
    <w:rPr>
      <w:rFonts w:hint="eastAsia" w:ascii="宋体" w:hAnsi="宋体" w:eastAsia="宋体" w:cs="宋体"/>
      <w:color w:val="000000"/>
      <w:sz w:val="20"/>
      <w:szCs w:val="20"/>
      <w:u w:val="none"/>
    </w:rPr>
  </w:style>
  <w:style w:type="character" w:customStyle="1" w:styleId="61">
    <w:name w:val="font01"/>
    <w:basedOn w:val="26"/>
    <w:qFormat/>
    <w:uiPriority w:val="0"/>
    <w:rPr>
      <w:rFonts w:ascii="Arial" w:hAnsi="Arial" w:cs="Arial"/>
      <w:color w:val="000000"/>
      <w:sz w:val="20"/>
      <w:szCs w:val="20"/>
      <w:u w:val="none"/>
    </w:rPr>
  </w:style>
  <w:style w:type="character" w:customStyle="1" w:styleId="62">
    <w:name w:val="fontstyle01"/>
    <w:basedOn w:val="26"/>
    <w:qFormat/>
    <w:uiPriority w:val="0"/>
    <w:rPr>
      <w:rFonts w:hint="eastAsia" w:ascii="宋体" w:hAnsi="宋体" w:eastAsia="宋体"/>
      <w:color w:val="000000"/>
      <w:sz w:val="22"/>
      <w:szCs w:val="22"/>
    </w:rPr>
  </w:style>
  <w:style w:type="character" w:customStyle="1" w:styleId="63">
    <w:name w:val="bds_nopic1"/>
    <w:basedOn w:val="26"/>
    <w:qFormat/>
    <w:uiPriority w:val="0"/>
  </w:style>
  <w:style w:type="character" w:customStyle="1" w:styleId="64">
    <w:name w:val="bds_nopic2"/>
    <w:basedOn w:val="26"/>
    <w:qFormat/>
    <w:uiPriority w:val="0"/>
  </w:style>
  <w:style w:type="paragraph" w:customStyle="1" w:styleId="65">
    <w:name w:val="模板普通正文"/>
    <w:basedOn w:val="10"/>
    <w:qFormat/>
    <w:uiPriority w:val="0"/>
    <w:pPr>
      <w:spacing w:beforeLines="50" w:after="10"/>
      <w:ind w:firstLine="490" w:firstLineChars="175"/>
      <w:jc w:val="left"/>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jpeg"/><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94</Pages>
  <Words>45939</Words>
  <Characters>48138</Characters>
  <Lines>337</Lines>
  <Paragraphs>95</Paragraphs>
  <TotalTime>8</TotalTime>
  <ScaleCrop>false</ScaleCrop>
  <LinksUpToDate>false</LinksUpToDate>
  <CharactersWithSpaces>49636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2021-11-20T10:00:00Z</dcterms:created>
  <dc:creator>Kenzson Wall</dc:creator>
  <cp:lastModifiedBy>安天利信K</cp:lastModifiedBy>
  <cp:lastPrinted>2022-04-24T08:31:00Z</cp:lastPrinted>
  <dcterms:modified xsi:type="dcterms:W3CDTF">2022-05-05T06:02:20Z</dcterms:modified>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2021-11-15T00:00:00Z</vt:filetime>
  </property>
  <property fmtid="{D5CDD505-2E9C-101B-9397-08002B2CF9AE}" pid="3" name="Creator">
    <vt:lpwstr>Microsoft® Word 2013</vt:lpwstr>
  </property>
  <property fmtid="{D5CDD505-2E9C-101B-9397-08002B2CF9AE}" pid="4" name="LastSaved">
    <vt:filetime>2021-11-20T00:00:00Z</vt:filetime>
  </property>
  <property fmtid="{D5CDD505-2E9C-101B-9397-08002B2CF9AE}" pid="5" name="KSOProductBuildVer">
    <vt:lpwstr>2052-11.1.0.11636</vt:lpwstr>
  </property>
  <property fmtid="{D5CDD505-2E9C-101B-9397-08002B2CF9AE}" pid="6" name="ICV">
    <vt:lpwstr>8F942CE93FB045BD9D85394C17AC11F4</vt:lpwstr>
  </property>
</Properties>
</file>