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asciiTheme="majorEastAsia" w:hAnsiTheme="majorEastAsia" w:eastAsiaTheme="majorEastAsia" w:cstheme="majorEastAsia"/>
          <w:color w:val="auto"/>
          <w:kern w:val="0"/>
          <w:sz w:val="21"/>
          <w:szCs w:val="21"/>
          <w:lang w:val="en-US" w:eastAsia="zh-CN" w:bidi="ar"/>
        </w:rPr>
      </w:pPr>
      <w:bookmarkStart w:id="0" w:name="_GoBack"/>
      <w:bookmarkEnd w:id="0"/>
      <w:r>
        <w:rPr>
          <w:rFonts w:hint="eastAsia" w:asciiTheme="majorEastAsia" w:hAnsiTheme="majorEastAsia" w:eastAsiaTheme="majorEastAsia" w:cstheme="majorEastAsia"/>
          <w:color w:val="auto"/>
          <w:kern w:val="0"/>
          <w:sz w:val="21"/>
          <w:szCs w:val="21"/>
          <w:lang w:bidi="ar"/>
        </w:rPr>
        <w:t>铜陵学院图书馆书库建库设备</w:t>
      </w:r>
    </w:p>
    <w:p>
      <w:pPr>
        <w:numPr>
          <w:ilvl w:val="0"/>
          <w:numId w:val="1"/>
        </w:numP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项目概况</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sz w:val="21"/>
          <w:szCs w:val="21"/>
        </w:rPr>
        <w:t>根据我校图书馆书库建设的需要，现需要采购一批书架、书车、自助借还机等设备</w:t>
      </w:r>
    </w:p>
    <w:p>
      <w:pPr>
        <w:numPr>
          <w:ilvl w:val="0"/>
          <w:numId w:val="0"/>
        </w:numPr>
        <w:rPr>
          <w:rFonts w:hint="eastAsia" w:asciiTheme="majorEastAsia" w:hAnsiTheme="majorEastAsia" w:eastAsiaTheme="majorEastAsia" w:cstheme="majorEastAsia"/>
          <w:color w:val="auto"/>
          <w:sz w:val="21"/>
          <w:szCs w:val="21"/>
          <w:lang w:val="en-US" w:eastAsia="zh-CN"/>
        </w:rPr>
      </w:pPr>
    </w:p>
    <w:p>
      <w:pPr>
        <w:numPr>
          <w:ilvl w:val="0"/>
          <w:numId w:val="1"/>
        </w:numP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资格条件：</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1、符合《中华人民共和国政府采购法》第二十二条规定，</w:t>
      </w:r>
      <w:r>
        <w:rPr>
          <w:rFonts w:hint="eastAsia" w:asciiTheme="majorEastAsia" w:hAnsiTheme="majorEastAsia" w:eastAsiaTheme="majorEastAsia" w:cstheme="majorEastAsia"/>
          <w:color w:val="auto"/>
          <w:sz w:val="21"/>
          <w:szCs w:val="21"/>
        </w:rPr>
        <w:t>且具有从事本项目的经营范围和能力；</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2、本项目不接受联合体投标；</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3、供应商存在以下不良信用记录情形之一的，不得推荐为中标候选供应商，不得确定为中标供应商：</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(1）供应商被人民法院列入失信被执行人的；</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(2）供应商或其法定代表人或拟派项目经理（项目负责人）被人民检察院列入行贿犯罪档案的；</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(3）供应商被工商行政管理部门列入企业经营异常名录的；</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(4）供应商被税务部门列入重大税收违法案件当事人名单的；</w:t>
      </w:r>
    </w:p>
    <w:p>
      <w:pPr>
        <w:widowControl/>
        <w:shd w:val="clear" w:color="auto" w:fill="FFFFFF"/>
        <w:spacing w:line="560" w:lineRule="exact"/>
        <w:ind w:firstLine="640"/>
        <w:rPr>
          <w:rFonts w:hint="eastAsia" w:asciiTheme="majorEastAsia" w:hAnsiTheme="majorEastAsia" w:eastAsiaTheme="majorEastAsia" w:cstheme="majorEastAsia"/>
          <w:color w:val="auto"/>
          <w:kern w:val="0"/>
          <w:sz w:val="21"/>
          <w:szCs w:val="21"/>
          <w:lang w:val="zh-CN"/>
        </w:rPr>
      </w:pPr>
      <w:r>
        <w:rPr>
          <w:rFonts w:hint="eastAsia" w:asciiTheme="majorEastAsia" w:hAnsiTheme="majorEastAsia" w:eastAsiaTheme="majorEastAsia" w:cstheme="majorEastAsia"/>
          <w:color w:val="auto"/>
          <w:kern w:val="0"/>
          <w:sz w:val="21"/>
          <w:szCs w:val="21"/>
          <w:lang w:val="zh-CN"/>
        </w:rPr>
        <w:t>(5）供应商被政府采购监管部门列入政府采购严重违法失信行为记录名单的。</w:t>
      </w:r>
    </w:p>
    <w:p>
      <w:pPr>
        <w:numPr>
          <w:ilvl w:val="0"/>
          <w:numId w:val="1"/>
        </w:numP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技术参数：</w:t>
      </w:r>
    </w:p>
    <w:tbl>
      <w:tblPr>
        <w:tblStyle w:val="4"/>
        <w:tblW w:w="10719" w:type="dxa"/>
        <w:jc w:val="center"/>
        <w:tblInd w:w="0" w:type="dxa"/>
        <w:tblLayout w:type="fixed"/>
        <w:tblCellMar>
          <w:top w:w="0" w:type="dxa"/>
          <w:left w:w="108" w:type="dxa"/>
          <w:bottom w:w="0" w:type="dxa"/>
          <w:right w:w="108" w:type="dxa"/>
        </w:tblCellMar>
      </w:tblPr>
      <w:tblGrid>
        <w:gridCol w:w="787"/>
        <w:gridCol w:w="1029"/>
        <w:gridCol w:w="6625"/>
        <w:gridCol w:w="840"/>
        <w:gridCol w:w="719"/>
        <w:gridCol w:w="719"/>
      </w:tblGrid>
      <w:tr>
        <w:tblPrEx>
          <w:tblLayout w:type="fixed"/>
          <w:tblCellMar>
            <w:top w:w="0" w:type="dxa"/>
            <w:left w:w="108" w:type="dxa"/>
            <w:bottom w:w="0" w:type="dxa"/>
            <w:right w:w="108" w:type="dxa"/>
          </w:tblCellMar>
        </w:tblPrEx>
        <w:trPr>
          <w:trHeight w:val="49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序号</w:t>
            </w:r>
          </w:p>
        </w:tc>
        <w:tc>
          <w:tcPr>
            <w:tcW w:w="10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品目名称</w:t>
            </w:r>
          </w:p>
        </w:tc>
        <w:tc>
          <w:tcPr>
            <w:tcW w:w="66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规格参数</w:t>
            </w:r>
          </w:p>
        </w:tc>
        <w:tc>
          <w:tcPr>
            <w:tcW w:w="840" w:type="dxa"/>
            <w:tcBorders>
              <w:top w:val="single" w:color="auto" w:sz="4" w:space="0"/>
              <w:left w:val="nil"/>
              <w:bottom w:val="single" w:color="auto" w:sz="4" w:space="0"/>
              <w:right w:val="single" w:color="auto" w:sz="4" w:space="0"/>
            </w:tcBorders>
            <w:noWrap w:val="0"/>
            <w:vAlign w:val="center"/>
          </w:tcPr>
          <w:p>
            <w:pPr>
              <w:widowControl/>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单位</w:t>
            </w:r>
          </w:p>
        </w:tc>
        <w:tc>
          <w:tcPr>
            <w:tcW w:w="719" w:type="dxa"/>
            <w:tcBorders>
              <w:top w:val="single" w:color="auto" w:sz="4" w:space="0"/>
              <w:left w:val="nil"/>
              <w:bottom w:val="single" w:color="auto" w:sz="4" w:space="0"/>
              <w:right w:val="single" w:color="auto" w:sz="4" w:space="0"/>
            </w:tcBorders>
            <w:noWrap w:val="0"/>
            <w:vAlign w:val="center"/>
          </w:tcPr>
          <w:p>
            <w:pPr>
              <w:widowControl/>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数量</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备注</w:t>
            </w:r>
          </w:p>
        </w:tc>
      </w:tr>
      <w:tr>
        <w:tblPrEx>
          <w:tblLayout w:type="fixed"/>
          <w:tblCellMar>
            <w:top w:w="0" w:type="dxa"/>
            <w:left w:w="108" w:type="dxa"/>
            <w:bottom w:w="0" w:type="dxa"/>
            <w:right w:w="108" w:type="dxa"/>
          </w:tblCellMar>
        </w:tblPrEx>
        <w:trPr>
          <w:trHeight w:val="992" w:hRule="atLeast"/>
          <w:jc w:val="center"/>
        </w:trPr>
        <w:tc>
          <w:tcPr>
            <w:tcW w:w="7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nil"/>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复柱双面6层钢木书架</w:t>
            </w:r>
          </w:p>
        </w:tc>
        <w:tc>
          <w:tcPr>
            <w:tcW w:w="6625" w:type="dxa"/>
            <w:tcBorders>
              <w:top w:val="nil"/>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规格说明（宽、深、高，单位：mm）：</w:t>
            </w:r>
            <w:r>
              <w:rPr>
                <w:rFonts w:hint="eastAsia" w:asciiTheme="majorEastAsia" w:hAnsiTheme="majorEastAsia" w:eastAsiaTheme="majorEastAsia" w:cstheme="majorEastAsia"/>
                <w:bCs/>
                <w:color w:val="auto"/>
                <w:sz w:val="21"/>
                <w:szCs w:val="21"/>
              </w:rPr>
              <w:t>钢制部分为900*500*2200</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±5mm</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bCs/>
                <w:color w:val="auto"/>
                <w:sz w:val="21"/>
                <w:szCs w:val="21"/>
              </w:rPr>
              <w:t>木质部分为仿古造型。</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2．</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执行标准：按照GB/T13667.1-2015钢制书架通用技术条件标准生产。</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3.</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钢制部分：采用一级冷轧钢板，标准为GB/T708-2006。钢板厚度为裸板厚度：底座≥2.0mm、立柱≥1.5mm、搁板≥1.2mm、挂板≥1.2mm、顶板≥1.0mm、挡板≥1.0mm。搁板采用</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bCs/>
                <w:color w:val="auto"/>
                <w:sz w:val="21"/>
                <w:szCs w:val="21"/>
              </w:rPr>
              <w:t>1.2mm的优质冷轧钢板，采用九折折弯边工艺，搁板正面带防脱落斜边，折弯高度≥25mm（另一边折高度≥23mm）防止架体在移动中由于惯性导致物体脱落，同时又增加层板承载能力；整体不能点焊和电焊，外形美观，结构新颖，刚性足，承重能力强；搁板正面压制对称双腰型圆筋，搁板正面有筋槽，压筋工艺不能导致搁板变形，从而使搁板即美观又能增加搁板承重强度，而且不影响搁板结构性能；搁板每层承重≥80KG，满负载24小时后曲挠度≤2mm，卸载后自动恢复。立柱采用≥1.5mm优质冷轧钢板一次滚压成型，立柱正面≥50mm，两截面≥39mm。正面压有燕尾槽，两侧面各压二根圆弧筋和冲挂扣调节孔，立柱背面两边圆弧成型为内圆环形。四压筋不锈钢标插：侧板目录标插尺寸不小于140*80mm，压四条筋，目录标插为不锈钢材质。</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木制部分：优质橡胶木指接板，要求由每块长度不小于300mm料指接而成。木板做防虫、防腐化学处理，不变形，不开裂，不拖边，无死节，无虫眼，遇到潮湿或湿度高情况不鼓起，不变形。木材含水率低于9%。木侧板两边伸展包柱，圆弧角处理，顶部加盖木护板，整体结构合理，造型美观，最大缝隙不得超过2mm。表面采用国家环保认证目录水性漆，五遍底漆，三遍面漆，八道工艺，光亮平整，无颗粒、汽泡、渣点、颜色均匀。木纹纹理自然，颜色线条拼合细密。符合GB 18581-2009《室内装饰装修材料溶剂型木器涂料中有害物质限量》规定。</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为书架配套制作</w:t>
            </w:r>
            <w:r>
              <w:rPr>
                <w:rFonts w:hint="eastAsia" w:asciiTheme="majorEastAsia" w:hAnsiTheme="majorEastAsia" w:eastAsiaTheme="majorEastAsia" w:cstheme="majorEastAsia"/>
                <w:bCs/>
                <w:color w:val="auto"/>
                <w:sz w:val="21"/>
                <w:szCs w:val="21"/>
              </w:rPr>
              <w:t>44</w:t>
            </w:r>
            <w:r>
              <w:rPr>
                <w:rFonts w:hint="eastAsia" w:asciiTheme="majorEastAsia" w:hAnsiTheme="majorEastAsia" w:eastAsiaTheme="majorEastAsia" w:cstheme="majorEastAsia"/>
                <w:bCs/>
                <w:color w:val="auto"/>
                <w:sz w:val="21"/>
                <w:szCs w:val="21"/>
              </w:rPr>
              <w:t>张导卡，</w:t>
            </w:r>
            <w:r>
              <w:rPr>
                <w:rFonts w:hint="eastAsia" w:asciiTheme="majorEastAsia" w:hAnsiTheme="majorEastAsia" w:eastAsiaTheme="majorEastAsia" w:cstheme="majorEastAsia"/>
                <w:bCs/>
                <w:color w:val="auto"/>
                <w:sz w:val="21"/>
                <w:szCs w:val="21"/>
              </w:rPr>
              <w:t>宽30</w:t>
            </w:r>
            <w:r>
              <w:rPr>
                <w:rFonts w:hint="eastAsia" w:asciiTheme="majorEastAsia" w:hAnsiTheme="majorEastAsia" w:eastAsiaTheme="majorEastAsia" w:cstheme="majorEastAsia"/>
                <w:bCs/>
                <w:color w:val="auto"/>
                <w:sz w:val="21"/>
                <w:szCs w:val="21"/>
              </w:rPr>
              <w:t>0m</w:t>
            </w:r>
            <w:r>
              <w:rPr>
                <w:rFonts w:hint="eastAsia" w:asciiTheme="majorEastAsia" w:hAnsiTheme="majorEastAsia" w:eastAsiaTheme="majorEastAsia" w:cstheme="majorEastAsia"/>
                <w:bCs/>
                <w:color w:val="auto"/>
                <w:sz w:val="21"/>
                <w:szCs w:val="21"/>
              </w:rPr>
              <w:t>m×高22</w:t>
            </w:r>
            <w:r>
              <w:rPr>
                <w:rFonts w:hint="eastAsia" w:asciiTheme="majorEastAsia" w:hAnsiTheme="majorEastAsia" w:eastAsiaTheme="majorEastAsia" w:cstheme="majorEastAsia"/>
                <w:bCs/>
                <w:color w:val="auto"/>
                <w:sz w:val="21"/>
                <w:szCs w:val="21"/>
              </w:rPr>
              <w:t>0m</w:t>
            </w:r>
            <w:r>
              <w:rPr>
                <w:rFonts w:hint="eastAsia" w:asciiTheme="majorEastAsia" w:hAnsiTheme="majorEastAsia" w:eastAsiaTheme="majorEastAsia" w:cstheme="majorEastAsia"/>
                <w:bCs/>
                <w:color w:val="auto"/>
                <w:sz w:val="21"/>
                <w:szCs w:val="21"/>
              </w:rPr>
              <w:t>m</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bCs/>
                <w:color w:val="auto"/>
                <w:sz w:val="21"/>
                <w:szCs w:val="21"/>
              </w:rPr>
              <w:t>5mm</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bCs/>
                <w:color w:val="auto"/>
                <w:sz w:val="21"/>
                <w:szCs w:val="21"/>
              </w:rPr>
              <w:t>内容：图书馆logo、具体索书号区间及分类法中文说明（图书馆提供）。要求：面板采用优质水晶亚克力板材制作，厚度为2mm，底板采用优质PVC板，内页为户外高清防水写真覆在底板上，更换方便。利用四颗装饰螺丝牢固地安装到所有书架两侧的木质护板上。</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钢木书架样式如图：</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drawing>
                <wp:inline distT="0" distB="0" distL="114300" distR="114300">
                  <wp:extent cx="2767330" cy="3675380"/>
                  <wp:effectExtent l="0" t="0" r="13970" b="1270"/>
                  <wp:docPr id="1" name="图片 1" descr="微信图片_2019080911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809111230"/>
                          <pic:cNvPicPr>
                            <a:picLocks noChangeAspect="1"/>
                          </pic:cNvPicPr>
                        </pic:nvPicPr>
                        <pic:blipFill>
                          <a:blip r:embed="rId4"/>
                          <a:stretch>
                            <a:fillRect/>
                          </a:stretch>
                        </pic:blipFill>
                        <pic:spPr>
                          <a:xfrm>
                            <a:off x="0" y="0"/>
                            <a:ext cx="2767330" cy="3675380"/>
                          </a:xfrm>
                          <a:prstGeom prst="rect">
                            <a:avLst/>
                          </a:prstGeom>
                          <a:noFill/>
                          <a:ln>
                            <a:noFill/>
                          </a:ln>
                        </pic:spPr>
                      </pic:pic>
                    </a:graphicData>
                  </a:graphic>
                </wp:inline>
              </w:drawing>
            </w:r>
          </w:p>
        </w:tc>
        <w:tc>
          <w:tcPr>
            <w:tcW w:w="84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sz w:val="21"/>
                <w:szCs w:val="21"/>
              </w:rPr>
              <w:t>节</w:t>
            </w:r>
          </w:p>
        </w:tc>
        <w:tc>
          <w:tcPr>
            <w:tcW w:w="719"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color w:val="auto"/>
                <w:sz w:val="21"/>
                <w:szCs w:val="21"/>
                <w:lang w:bidi="ar"/>
              </w:rPr>
              <w:t>144</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r>
      <w:tr>
        <w:tblPrEx>
          <w:tblLayout w:type="fixed"/>
          <w:tblCellMar>
            <w:top w:w="0" w:type="dxa"/>
            <w:left w:w="108" w:type="dxa"/>
            <w:bottom w:w="0" w:type="dxa"/>
            <w:right w:w="108" w:type="dxa"/>
          </w:tblCellMar>
        </w:tblPrEx>
        <w:trPr>
          <w:trHeight w:val="219"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书车</w:t>
            </w:r>
          </w:p>
        </w:tc>
        <w:tc>
          <w:tcPr>
            <w:tcW w:w="6625"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钢结构骨架，</w:t>
            </w:r>
            <w:r>
              <w:rPr>
                <w:rFonts w:hint="eastAsia" w:asciiTheme="majorEastAsia" w:hAnsiTheme="majorEastAsia" w:eastAsiaTheme="majorEastAsia" w:cstheme="majorEastAsia"/>
                <w:bCs/>
                <w:color w:val="auto"/>
                <w:sz w:val="21"/>
                <w:szCs w:val="21"/>
              </w:rPr>
              <w:t>长宽高尺寸</w:t>
            </w:r>
            <w:r>
              <w:rPr>
                <w:rFonts w:hint="eastAsia" w:asciiTheme="majorEastAsia" w:hAnsiTheme="majorEastAsia" w:eastAsiaTheme="majorEastAsia" w:cstheme="majorEastAsia"/>
                <w:bCs/>
                <w:color w:val="auto"/>
                <w:sz w:val="21"/>
                <w:szCs w:val="21"/>
              </w:rPr>
              <w:t>75</w:t>
            </w:r>
            <w:r>
              <w:rPr>
                <w:rFonts w:hint="eastAsia" w:asciiTheme="majorEastAsia" w:hAnsiTheme="majorEastAsia" w:eastAsiaTheme="majorEastAsia" w:cstheme="majorEastAsia"/>
                <w:bCs/>
                <w:color w:val="auto"/>
                <w:sz w:val="21"/>
                <w:szCs w:val="21"/>
              </w:rPr>
              <w:t>0mm×380mm×9</w:t>
            </w:r>
            <w:r>
              <w:rPr>
                <w:rFonts w:hint="eastAsia" w:asciiTheme="majorEastAsia" w:hAnsiTheme="majorEastAsia" w:eastAsiaTheme="majorEastAsia" w:cstheme="majorEastAsia"/>
                <w:bCs/>
                <w:color w:val="auto"/>
                <w:sz w:val="21"/>
                <w:szCs w:val="21"/>
              </w:rPr>
              <w:t>3</w:t>
            </w:r>
            <w:r>
              <w:rPr>
                <w:rFonts w:hint="eastAsia" w:asciiTheme="majorEastAsia" w:hAnsiTheme="majorEastAsia" w:eastAsiaTheme="majorEastAsia" w:cstheme="majorEastAsia"/>
                <w:bCs/>
                <w:color w:val="auto"/>
                <w:sz w:val="21"/>
                <w:szCs w:val="21"/>
              </w:rPr>
              <w:t>0mm</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bCs/>
                <w:color w:val="auto"/>
                <w:sz w:val="21"/>
                <w:szCs w:val="21"/>
              </w:rPr>
              <w:t>5</w:t>
            </w:r>
            <w:r>
              <w:rPr>
                <w:rFonts w:hint="eastAsia" w:asciiTheme="majorEastAsia" w:hAnsiTheme="majorEastAsia" w:eastAsiaTheme="majorEastAsia" w:cstheme="majorEastAsia"/>
                <w:bCs/>
                <w:color w:val="auto"/>
                <w:sz w:val="21"/>
                <w:szCs w:val="21"/>
              </w:rPr>
              <w:t xml:space="preserve"> mm</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（把手高度），上层板高度约660mm，下层板高度约32</w:t>
            </w:r>
            <w:r>
              <w:rPr>
                <w:rFonts w:hint="eastAsia" w:asciiTheme="majorEastAsia" w:hAnsiTheme="majorEastAsia" w:eastAsiaTheme="majorEastAsia" w:cstheme="majorEastAsia"/>
                <w:bCs/>
                <w:color w:val="auto"/>
                <w:sz w:val="21"/>
                <w:szCs w:val="21"/>
              </w:rPr>
              <w:t>0</w:t>
            </w:r>
            <w:r>
              <w:rPr>
                <w:rFonts w:hint="eastAsia" w:asciiTheme="majorEastAsia" w:hAnsiTheme="majorEastAsia" w:eastAsiaTheme="majorEastAsia" w:cstheme="majorEastAsia"/>
                <w:bCs/>
                <w:color w:val="auto"/>
                <w:sz w:val="21"/>
                <w:szCs w:val="21"/>
              </w:rPr>
              <w:t>mm，层间距3</w:t>
            </w:r>
            <w:r>
              <w:rPr>
                <w:rFonts w:hint="eastAsia" w:asciiTheme="majorEastAsia" w:hAnsiTheme="majorEastAsia" w:eastAsiaTheme="majorEastAsia" w:cstheme="majorEastAsia"/>
                <w:bCs/>
                <w:color w:val="auto"/>
                <w:sz w:val="21"/>
                <w:szCs w:val="21"/>
              </w:rPr>
              <w:t>5</w:t>
            </w:r>
            <w:r>
              <w:rPr>
                <w:rFonts w:hint="eastAsia" w:asciiTheme="majorEastAsia" w:hAnsiTheme="majorEastAsia" w:eastAsiaTheme="majorEastAsia" w:cstheme="majorEastAsia"/>
                <w:bCs/>
                <w:color w:val="auto"/>
                <w:sz w:val="21"/>
                <w:szCs w:val="21"/>
              </w:rPr>
              <w:t>0mm，承重≥90kg，材质为≥1.2mm冷轧钢板，层板下有加强筋坚固耐用，灰白色，4只脚轮直径≥100mm，脚轮材质为聚氨酯轮片，2只万向轮，2只万向带刹车轮，拖动时灵活无噪音</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辆</w:t>
            </w:r>
          </w:p>
        </w:tc>
        <w:tc>
          <w:tcPr>
            <w:tcW w:w="71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color w:val="auto"/>
                <w:sz w:val="21"/>
                <w:szCs w:val="21"/>
                <w:lang w:bidi="ar"/>
              </w:rPr>
              <w:t>8</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r>
      <w:tr>
        <w:tblPrEx>
          <w:tblLayout w:type="fixed"/>
          <w:tblCellMar>
            <w:top w:w="0" w:type="dxa"/>
            <w:left w:w="108" w:type="dxa"/>
            <w:bottom w:w="0" w:type="dxa"/>
            <w:right w:w="108" w:type="dxa"/>
          </w:tblCellMar>
        </w:tblPrEx>
        <w:trPr>
          <w:trHeight w:val="157"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书立</w:t>
            </w:r>
          </w:p>
        </w:tc>
        <w:tc>
          <w:tcPr>
            <w:tcW w:w="6625"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1.尺寸规格：</w:t>
            </w:r>
            <w:r>
              <w:rPr>
                <w:rFonts w:hint="eastAsia" w:asciiTheme="majorEastAsia" w:hAnsiTheme="majorEastAsia" w:eastAsiaTheme="majorEastAsia" w:cstheme="majorEastAsia"/>
                <w:bCs/>
                <w:color w:val="auto"/>
                <w:sz w:val="21"/>
                <w:szCs w:val="21"/>
              </w:rPr>
              <w:t>高宽底座</w:t>
            </w:r>
            <w:r>
              <w:rPr>
                <w:rFonts w:hint="eastAsia" w:asciiTheme="majorEastAsia" w:hAnsiTheme="majorEastAsia" w:eastAsiaTheme="majorEastAsia" w:cstheme="majorEastAsia"/>
                <w:bCs/>
                <w:color w:val="auto"/>
                <w:sz w:val="21"/>
                <w:szCs w:val="21"/>
              </w:rPr>
              <w:t>23</w:t>
            </w:r>
            <w:r>
              <w:rPr>
                <w:rFonts w:hint="eastAsia" w:asciiTheme="majorEastAsia" w:hAnsiTheme="majorEastAsia" w:eastAsiaTheme="majorEastAsia" w:cstheme="majorEastAsia"/>
                <w:bCs/>
                <w:color w:val="auto"/>
                <w:sz w:val="21"/>
                <w:szCs w:val="21"/>
              </w:rPr>
              <w:t>0mm×1</w:t>
            </w:r>
            <w:r>
              <w:rPr>
                <w:rFonts w:hint="eastAsia" w:asciiTheme="majorEastAsia" w:hAnsiTheme="majorEastAsia" w:eastAsiaTheme="majorEastAsia" w:cstheme="majorEastAsia"/>
                <w:bCs/>
                <w:color w:val="auto"/>
                <w:sz w:val="21"/>
                <w:szCs w:val="21"/>
              </w:rPr>
              <w:t>48</w:t>
            </w:r>
            <w:r>
              <w:rPr>
                <w:rFonts w:hint="eastAsia" w:asciiTheme="majorEastAsia" w:hAnsiTheme="majorEastAsia" w:eastAsiaTheme="majorEastAsia" w:cstheme="majorEastAsia"/>
                <w:bCs/>
                <w:color w:val="auto"/>
                <w:sz w:val="21"/>
                <w:szCs w:val="21"/>
              </w:rPr>
              <w:t>mm×160mm</w:t>
            </w:r>
            <w:r>
              <w:rPr>
                <w:rFonts w:hint="eastAsia" w:asciiTheme="majorEastAsia" w:hAnsiTheme="majorEastAsia" w:eastAsiaTheme="majorEastAsia" w:cstheme="majorEastAsia"/>
                <w:bCs/>
                <w:color w:val="auto"/>
                <w:sz w:val="21"/>
                <w:szCs w:val="21"/>
                <w:lang w:eastAsia="zh-CN"/>
              </w:rPr>
              <w:t>（</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bCs/>
                <w:color w:val="auto"/>
                <w:sz w:val="21"/>
                <w:szCs w:val="21"/>
              </w:rPr>
              <w:t>5</w:t>
            </w:r>
            <w:r>
              <w:rPr>
                <w:rFonts w:hint="eastAsia" w:asciiTheme="majorEastAsia" w:hAnsiTheme="majorEastAsia" w:eastAsiaTheme="majorEastAsia" w:cstheme="majorEastAsia"/>
                <w:bCs/>
                <w:color w:val="auto"/>
                <w:sz w:val="21"/>
                <w:szCs w:val="21"/>
              </w:rPr>
              <w:t>mm</w:t>
            </w:r>
            <w:r>
              <w:rPr>
                <w:rFonts w:hint="eastAsia" w:asciiTheme="majorEastAsia" w:hAnsiTheme="majorEastAsia" w:eastAsiaTheme="majorEastAsia" w:cstheme="majorEastAsia"/>
                <w:bCs/>
                <w:color w:val="auto"/>
                <w:sz w:val="21"/>
                <w:szCs w:val="21"/>
                <w:lang w:eastAsia="zh-CN"/>
              </w:rPr>
              <w:t>）</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2.</w:t>
            </w:r>
            <w:r>
              <w:rPr>
                <w:rFonts w:hint="eastAsia" w:asciiTheme="majorEastAsia" w:hAnsiTheme="majorEastAsia" w:eastAsiaTheme="majorEastAsia" w:cstheme="majorEastAsia"/>
                <w:bCs/>
                <w:color w:val="auto"/>
                <w:sz w:val="21"/>
                <w:szCs w:val="21"/>
              </w:rPr>
              <w:t>采用优质一级冷轧钢板，架体材料：厚度≥1.5mm，底部带防滑垫。</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3.</w:t>
            </w:r>
            <w:r>
              <w:rPr>
                <w:rFonts w:hint="eastAsia" w:asciiTheme="majorEastAsia" w:hAnsiTheme="majorEastAsia" w:eastAsiaTheme="majorEastAsia" w:cstheme="majorEastAsia"/>
                <w:bCs/>
                <w:color w:val="auto"/>
                <w:sz w:val="21"/>
                <w:szCs w:val="21"/>
              </w:rPr>
              <w:t>钢质部分磨具化生产，去油、除锈、磷化处理、经亚光静电喷粉、高温塑化，具有良好的抗腐蚀性能、附着力强。</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个</w:t>
            </w:r>
          </w:p>
        </w:tc>
        <w:tc>
          <w:tcPr>
            <w:tcW w:w="71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color w:val="auto"/>
                <w:sz w:val="21"/>
                <w:szCs w:val="21"/>
                <w:lang w:bidi="ar"/>
              </w:rPr>
              <w:t>28</w:t>
            </w:r>
            <w:r>
              <w:rPr>
                <w:rFonts w:hint="eastAsia" w:asciiTheme="majorEastAsia" w:hAnsiTheme="majorEastAsia" w:eastAsiaTheme="majorEastAsia" w:cstheme="majorEastAsia"/>
                <w:color w:val="auto"/>
                <w:sz w:val="21"/>
                <w:szCs w:val="21"/>
                <w:lang w:bidi="ar"/>
              </w:rPr>
              <w:t>00</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r>
      <w:tr>
        <w:tblPrEx>
          <w:tblLayout w:type="fixed"/>
          <w:tblCellMar>
            <w:top w:w="0" w:type="dxa"/>
            <w:left w:w="108" w:type="dxa"/>
            <w:bottom w:w="0" w:type="dxa"/>
            <w:right w:w="108" w:type="dxa"/>
          </w:tblCellMar>
        </w:tblPrEx>
        <w:trPr>
          <w:trHeight w:val="13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立式自助借还机</w:t>
            </w:r>
          </w:p>
        </w:tc>
        <w:tc>
          <w:tcPr>
            <w:tcW w:w="6625"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一、技术要求</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1、显示设备：≥24英寸IPS电容多点触摸屏；</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2</w:t>
            </w:r>
            <w:r>
              <w:rPr>
                <w:rFonts w:hint="eastAsia" w:asciiTheme="majorEastAsia" w:hAnsiTheme="majorEastAsia" w:eastAsiaTheme="majorEastAsia" w:cstheme="majorEastAsia"/>
                <w:bCs/>
                <w:color w:val="auto"/>
                <w:sz w:val="21"/>
                <w:szCs w:val="21"/>
              </w:rPr>
              <w:t>、符合标准：ISO/IEC18000-6C，ISO/IEC15693；</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3</w:t>
            </w:r>
            <w:r>
              <w:rPr>
                <w:rFonts w:hint="eastAsia" w:asciiTheme="majorEastAsia" w:hAnsiTheme="majorEastAsia" w:eastAsiaTheme="majorEastAsia" w:cstheme="majorEastAsia"/>
                <w:bCs/>
                <w:color w:val="auto"/>
                <w:sz w:val="21"/>
                <w:szCs w:val="21"/>
              </w:rPr>
              <w:t>、工作频段：920-925MHz/；</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w:t>
            </w:r>
            <w:r>
              <w:rPr>
                <w:rFonts w:hint="eastAsia" w:asciiTheme="majorEastAsia" w:hAnsiTheme="majorEastAsia" w:eastAsiaTheme="majorEastAsia" w:cstheme="majorEastAsia"/>
                <w:bCs/>
                <w:color w:val="auto"/>
                <w:sz w:val="21"/>
                <w:szCs w:val="21"/>
              </w:rPr>
              <w:t>、阅读范围半径：≤250mm；</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5</w:t>
            </w:r>
            <w:r>
              <w:rPr>
                <w:rFonts w:hint="eastAsia" w:asciiTheme="majorEastAsia" w:hAnsiTheme="majorEastAsia" w:eastAsiaTheme="majorEastAsia" w:cstheme="majorEastAsia"/>
                <w:bCs/>
                <w:color w:val="auto"/>
                <w:sz w:val="21"/>
                <w:szCs w:val="21"/>
              </w:rPr>
              <w:t>、响应速度：≥25个标签/秒；</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6</w:t>
            </w:r>
            <w:r>
              <w:rPr>
                <w:rFonts w:hint="eastAsia" w:asciiTheme="majorEastAsia" w:hAnsiTheme="majorEastAsia" w:eastAsiaTheme="majorEastAsia" w:cstheme="majorEastAsia"/>
                <w:bCs/>
                <w:color w:val="auto"/>
                <w:sz w:val="21"/>
                <w:szCs w:val="21"/>
              </w:rPr>
              <w:t>、灯光显示：双色LED灯光提示；</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7</w:t>
            </w:r>
            <w:r>
              <w:rPr>
                <w:rFonts w:hint="eastAsia" w:asciiTheme="majorEastAsia" w:hAnsiTheme="majorEastAsia" w:eastAsiaTheme="majorEastAsia" w:cstheme="majorEastAsia"/>
                <w:bCs/>
                <w:color w:val="auto"/>
                <w:sz w:val="21"/>
                <w:szCs w:val="21"/>
              </w:rPr>
              <w:t>、移动：采用福马轮（可固定）。</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二、功能要求</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1、自助借还系统与图书管理系统实现无缝联接；</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2、系统支持校园一卡通、二代身份证、IC卡、条形码、sim-pass卡；</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 xml:space="preserve">3、设备待机时，可提供自动播放使用帮助视频或其他内容； </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4、系统提供图书借阅、归还、续借、查询和密码修改等功能，根据需求可开启或关闭密码输入功能；</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5、系统可以被设定为仅有借书或仅有还书功能；拥有远程诊断、监控功能，管理员可以远程登录自助设备进行管理；</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6、具备防止一书登录多书借出和读者在自助借还过程中抽换书籍功能的功能；</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7、可配置凭证打印机，操作完成自动打印凭条。打印内容可根据需求显示读者姓名、借/归的文献题名、归还日期和超期天数等；</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8、射频设备无须设置1.5米限制线，保证不出现误读现象，可有效杜绝超高频常见弊病；</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9、借还图书时任意摆放在指定区域内，无书脊朝下操作限制，一次性读取1-8册图书；</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三、其它要求</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w:t>
            </w:r>
            <w:r>
              <w:rPr>
                <w:rFonts w:hint="eastAsia" w:asciiTheme="majorEastAsia" w:hAnsiTheme="majorEastAsia" w:eastAsiaTheme="majorEastAsia" w:cstheme="majorEastAsia"/>
                <w:color w:val="auto"/>
                <w:sz w:val="21"/>
                <w:szCs w:val="21"/>
              </w:rPr>
              <w:t xml:space="preserve"> ▲</w:t>
            </w:r>
            <w:r>
              <w:rPr>
                <w:rFonts w:hint="eastAsia" w:asciiTheme="majorEastAsia" w:hAnsiTheme="majorEastAsia" w:eastAsiaTheme="majorEastAsia" w:cstheme="majorEastAsia"/>
                <w:bCs/>
                <w:color w:val="auto"/>
                <w:sz w:val="21"/>
                <w:szCs w:val="21"/>
              </w:rPr>
              <w:t>满足本次招标设备的SIP2接口需求，提供与现有图书馆管理系统的终端标准接口软件。提供RFID系统设备所需的相关应用软件和接口。实现图书的自助借还、续借、缴纳罚款、防盗、查询和跟踪图书的在架、错架、上下架等工作流程，从而达到自助借还快捷方便，防盗系统可靠准确，实现馆藏图书定位导航和快速查询。</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2</w:t>
            </w:r>
            <w:r>
              <w:rPr>
                <w:rFonts w:hint="eastAsia" w:asciiTheme="majorEastAsia" w:hAnsiTheme="majorEastAsia" w:eastAsiaTheme="majorEastAsia" w:cstheme="majorEastAsia"/>
                <w:bCs/>
                <w:color w:val="auto"/>
                <w:sz w:val="21"/>
                <w:szCs w:val="21"/>
              </w:rPr>
              <w:t>.</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Cs/>
                <w:color w:val="auto"/>
                <w:sz w:val="21"/>
                <w:szCs w:val="21"/>
              </w:rPr>
              <w:t>投标人需承诺所投设备与铜陵学院图书馆现有的妙思文献集成管理系统、校园一卡通系统和RFID一期项目的无缝对接，出具无缝对接承诺函加盖投标人公章装订入投标文件。</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台</w:t>
            </w:r>
          </w:p>
        </w:tc>
        <w:tc>
          <w:tcPr>
            <w:tcW w:w="71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r>
      <w:tr>
        <w:tblPrEx>
          <w:tblLayout w:type="fixed"/>
          <w:tblCellMar>
            <w:top w:w="0" w:type="dxa"/>
            <w:left w:w="108" w:type="dxa"/>
            <w:bottom w:w="0" w:type="dxa"/>
            <w:right w:w="108" w:type="dxa"/>
          </w:tblCellMar>
        </w:tblPrEx>
        <w:trPr>
          <w:trHeight w:val="158"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电脑</w:t>
            </w:r>
          </w:p>
        </w:tc>
        <w:tc>
          <w:tcPr>
            <w:tcW w:w="6625"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CPU：Intel Core 6核i5-8500处理器（主频≥3.0GHz，缓存≥9M）；</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内存：≥8GB DDR4 2666，最大支持32G容量；</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硬盘：≥ 128G M2接口高速固态硬盘+1T机械硬盘；</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显卡：≥2G GDDR5 显存独立显卡；</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主板：Inter B360及以上、原厂同品牌主板；</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网卡：集成10-100-1000M自适应网卡；</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声卡：集成5.1声道声卡，具有至少2个音频接口；</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接口：≥8个USB接口（至少6个USB 3.1接口）；</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键鼠：PS2防水抗菌键盘、USB光电鼠标。</w:t>
            </w:r>
          </w:p>
          <w:p>
            <w:pPr>
              <w:pStyle w:val="2"/>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rPr>
              <w:t>提供有效期内的节能产品认证证书复印件</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台</w:t>
            </w:r>
          </w:p>
        </w:tc>
        <w:tc>
          <w:tcPr>
            <w:tcW w:w="71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r>
      <w:tr>
        <w:tblPrEx>
          <w:tblLayout w:type="fixed"/>
          <w:tblCellMar>
            <w:top w:w="0" w:type="dxa"/>
            <w:left w:w="108" w:type="dxa"/>
            <w:bottom w:w="0" w:type="dxa"/>
            <w:right w:w="108" w:type="dxa"/>
          </w:tblCellMar>
        </w:tblPrEx>
        <w:trPr>
          <w:trHeight w:val="111"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办公椅</w:t>
            </w:r>
          </w:p>
        </w:tc>
        <w:tc>
          <w:tcPr>
            <w:tcW w:w="6625"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椅面采用优质皮，皮面光泽度好，透气性强，柔软而富于韧性，厚度适中；内层PU成型30密度发泡海绵，软硬适中，回弹性能好，不变形；座背板为连体曲木板(采用1.5MM夹板捌层热压成型板材,承受压力300KG)；木制部分选用优质橡木实木木方，材质坚硬、刚性强、含水率≤9%，符合GB/T3324标准，防腐、防虫不变形，油漆采用优质环保聚脂漆；防暴气压棒,同步倾仰结构,升降自如，升降时无声响，托盘经测试能承受250KG压力,升降30万次无损；五星实木脚架,尼龙万向轮，活动自如，滑动时无杂音。</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把</w:t>
            </w:r>
          </w:p>
        </w:tc>
        <w:tc>
          <w:tcPr>
            <w:tcW w:w="71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r>
      <w:tr>
        <w:tblPrEx>
          <w:tblLayout w:type="fixed"/>
          <w:tblCellMar>
            <w:top w:w="0" w:type="dxa"/>
            <w:left w:w="108" w:type="dxa"/>
            <w:bottom w:w="0" w:type="dxa"/>
            <w:right w:w="108" w:type="dxa"/>
          </w:tblCellMar>
        </w:tblPrEx>
        <w:trPr>
          <w:trHeight w:val="20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ajorEastAsia" w:hAnsiTheme="majorEastAsia" w:eastAsiaTheme="majorEastAsia" w:cstheme="majorEastAsia"/>
                <w:color w:val="auto"/>
                <w:sz w:val="21"/>
                <w:szCs w:val="21"/>
              </w:rPr>
            </w:pPr>
          </w:p>
        </w:tc>
        <w:tc>
          <w:tcPr>
            <w:tcW w:w="1029"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图书上架定位</w:t>
            </w:r>
          </w:p>
        </w:tc>
        <w:tc>
          <w:tcPr>
            <w:tcW w:w="6625"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★由专业的图书加工队伍完成新区第四综合书库10万册图书上架定位工作：</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1.图书搬运到综合四库（2-</w:t>
            </w:r>
            <w:r>
              <w:rPr>
                <w:rFonts w:hint="eastAsia" w:asciiTheme="majorEastAsia" w:hAnsiTheme="majorEastAsia" w:eastAsiaTheme="majorEastAsia" w:cstheme="majorEastAsia"/>
                <w:bCs/>
                <w:color w:val="auto"/>
                <w:sz w:val="21"/>
                <w:szCs w:val="21"/>
              </w:rPr>
              <w:t>3层</w:t>
            </w:r>
            <w:r>
              <w:rPr>
                <w:rFonts w:hint="eastAsia" w:asciiTheme="majorEastAsia" w:hAnsiTheme="majorEastAsia" w:eastAsiaTheme="majorEastAsia" w:cstheme="majorEastAsia"/>
                <w:bCs/>
                <w:color w:val="auto"/>
                <w:sz w:val="21"/>
                <w:szCs w:val="21"/>
              </w:rPr>
              <w:t>，有电梯）；</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2.图书上架，按照图书馆自定规则上架；</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3.完成本库所有图书定位服务，要求无遗漏和错架。</w:t>
            </w:r>
          </w:p>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4.提供并完成层架标和地标的定位粘贴工作。</w:t>
            </w:r>
          </w:p>
        </w:tc>
        <w:tc>
          <w:tcPr>
            <w:tcW w:w="840"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批</w:t>
            </w:r>
          </w:p>
        </w:tc>
        <w:tc>
          <w:tcPr>
            <w:tcW w:w="719" w:type="dxa"/>
            <w:tcBorders>
              <w:top w:val="single" w:color="auto" w:sz="4" w:space="0"/>
              <w:left w:val="nil"/>
              <w:bottom w:val="single" w:color="auto" w:sz="4" w:space="0"/>
              <w:right w:val="single" w:color="auto" w:sz="4" w:space="0"/>
            </w:tcBorders>
            <w:noWrap w:val="0"/>
            <w:vAlign w:val="center"/>
          </w:tcPr>
          <w:p>
            <w:pPr>
              <w:widowControl/>
              <w:adjustRightInd w:val="0"/>
              <w:snapToGrid w:val="0"/>
              <w:textAlignment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1</w:t>
            </w:r>
          </w:p>
        </w:tc>
        <w:tc>
          <w:tcPr>
            <w:tcW w:w="719" w:type="dxa"/>
            <w:tcBorders>
              <w:top w:val="single" w:color="auto" w:sz="4" w:space="0"/>
              <w:left w:val="nil"/>
              <w:bottom w:val="single" w:color="auto" w:sz="4" w:space="0"/>
              <w:right w:val="single" w:color="auto" w:sz="4" w:space="0"/>
            </w:tcBorders>
            <w:noWrap w:val="0"/>
            <w:vAlign w:val="top"/>
          </w:tcPr>
          <w:p>
            <w:pPr>
              <w:widowControl/>
              <w:jc w:val="center"/>
              <w:rPr>
                <w:rFonts w:hint="eastAsia" w:asciiTheme="majorEastAsia" w:hAnsiTheme="majorEastAsia" w:eastAsiaTheme="majorEastAsia" w:cstheme="majorEastAsia"/>
                <w:color w:val="auto"/>
                <w:sz w:val="21"/>
                <w:szCs w:val="21"/>
              </w:rPr>
            </w:pPr>
          </w:p>
        </w:tc>
      </w:tr>
    </w:tbl>
    <w:p>
      <w:pPr>
        <w:numPr>
          <w:ilvl w:val="0"/>
          <w:numId w:val="0"/>
        </w:numPr>
        <w:rPr>
          <w:rFonts w:hint="eastAsia" w:asciiTheme="majorEastAsia" w:hAnsiTheme="majorEastAsia" w:eastAsiaTheme="majorEastAsia" w:cstheme="majorEastAsia"/>
          <w:color w:val="auto"/>
          <w:sz w:val="21"/>
          <w:szCs w:val="21"/>
          <w:lang w:val="en-US" w:eastAsia="zh-CN"/>
        </w:rPr>
      </w:pPr>
    </w:p>
    <w:p>
      <w:pPr>
        <w:numPr>
          <w:ilvl w:val="0"/>
          <w:numId w:val="0"/>
        </w:numPr>
        <w:rPr>
          <w:rFonts w:hint="eastAsia" w:asciiTheme="majorEastAsia" w:hAnsiTheme="majorEastAsia" w:eastAsiaTheme="majorEastAsia" w:cstheme="majorEastAsia"/>
          <w:color w:val="auto"/>
          <w:sz w:val="21"/>
          <w:szCs w:val="21"/>
          <w:lang w:val="en-US" w:eastAsia="zh-CN"/>
        </w:rPr>
      </w:pPr>
    </w:p>
    <w:p>
      <w:pPr>
        <w:numPr>
          <w:ilvl w:val="0"/>
          <w:numId w:val="1"/>
        </w:numP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评标办法</w:t>
      </w:r>
    </w:p>
    <w:tbl>
      <w:tblPr>
        <w:tblStyle w:val="4"/>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6095"/>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noWrap w:val="0"/>
            <w:vAlign w:val="center"/>
          </w:tcPr>
          <w:p>
            <w:pPr>
              <w:adjustRightInd w:val="0"/>
              <w:snapToGrid w:val="0"/>
              <w:spacing w:before="100" w:beforeAutospacing="1" w:after="100" w:afterAutospacing="1"/>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评分标准</w:t>
            </w:r>
          </w:p>
        </w:tc>
        <w:tc>
          <w:tcPr>
            <w:tcW w:w="6804" w:type="dxa"/>
            <w:gridSpan w:val="2"/>
            <w:noWrap w:val="0"/>
            <w:vAlign w:val="center"/>
          </w:tcPr>
          <w:p>
            <w:pPr>
              <w:adjustRightInd w:val="0"/>
              <w:snapToGrid w:val="0"/>
              <w:spacing w:before="100" w:beforeAutospacing="1" w:after="100" w:afterAutospacing="1"/>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评分因素</w:t>
            </w:r>
          </w:p>
        </w:tc>
        <w:tc>
          <w:tcPr>
            <w:tcW w:w="1559" w:type="dxa"/>
            <w:noWrap w:val="0"/>
            <w:vAlign w:val="center"/>
          </w:tcPr>
          <w:p>
            <w:pPr>
              <w:adjustRightInd w:val="0"/>
              <w:snapToGrid w:val="0"/>
              <w:spacing w:before="100" w:beforeAutospacing="1" w:after="100" w:afterAutospacing="1"/>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所需提供材料</w:t>
            </w:r>
          </w:p>
        </w:tc>
        <w:tc>
          <w:tcPr>
            <w:tcW w:w="709" w:type="dxa"/>
            <w:noWrap w:val="0"/>
            <w:vAlign w:val="center"/>
          </w:tcPr>
          <w:p>
            <w:pPr>
              <w:adjustRightInd w:val="0"/>
              <w:snapToGrid w:val="0"/>
              <w:spacing w:before="100" w:beforeAutospacing="1" w:after="100" w:afterAutospacing="1"/>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704" w:type="dxa"/>
            <w:vMerge w:val="restart"/>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技术部分标准</w:t>
            </w: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项目实施方案</w:t>
            </w:r>
          </w:p>
        </w:tc>
        <w:tc>
          <w:tcPr>
            <w:tcW w:w="6095" w:type="dxa"/>
            <w:noWrap w:val="0"/>
            <w:vAlign w:val="center"/>
          </w:tcPr>
          <w:p>
            <w:pPr>
              <w:snapToGrid w:val="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投标人提供的产品平面图、效果图完整准确，设计美观，生产、运输、安装调试与施工方案与现场完全吻合的设计方案为优，得</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分。投标人提供的产品平面图、效果图完整但不准确，设计一般，生产、运输、安装调试与施工方案与现场基本吻合的为良，得3分。投标人提供的产品平面图、效果图不完全，设计一般，生产、运输、安装调试方案与施工现场不吻合的为一般，得1分.无具体项目实施计划方案得0分。</w:t>
            </w:r>
          </w:p>
        </w:tc>
        <w:tc>
          <w:tcPr>
            <w:tcW w:w="155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提供方案装订入投标文件，未提供方案的不得分。</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vMerge w:val="continue"/>
            <w:noWrap w:val="0"/>
            <w:vAlign w:val="center"/>
          </w:tcPr>
          <w:p>
            <w:pPr>
              <w:spacing w:line="300" w:lineRule="exact"/>
              <w:jc w:val="center"/>
              <w:rPr>
                <w:rFonts w:hint="eastAsia" w:asciiTheme="majorEastAsia" w:hAnsiTheme="majorEastAsia" w:eastAsiaTheme="majorEastAsia" w:cstheme="majorEastAsia"/>
                <w:b/>
                <w:color w:val="auto"/>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技术参数</w:t>
            </w:r>
          </w:p>
        </w:tc>
        <w:tc>
          <w:tcPr>
            <w:tcW w:w="6095" w:type="dxa"/>
            <w:noWrap w:val="0"/>
            <w:vAlign w:val="center"/>
          </w:tcPr>
          <w:p>
            <w:pPr>
              <w:widowControl/>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标★参数为关键性参数，一项不满足视为不响应；剩余参数完全满足招标文件要求的得满分，若其中标▲的参数一项负偏离，则扣2分；其他参数一项负偏离扣1分，扣完为止</w:t>
            </w:r>
            <w:r>
              <w:rPr>
                <w:rFonts w:hint="eastAsia" w:asciiTheme="majorEastAsia" w:hAnsiTheme="majorEastAsia" w:eastAsiaTheme="majorEastAsia" w:cstheme="majorEastAsia"/>
                <w:color w:val="auto"/>
                <w:sz w:val="21"/>
                <w:szCs w:val="21"/>
              </w:rPr>
              <w:t>。</w:t>
            </w:r>
          </w:p>
        </w:tc>
        <w:tc>
          <w:tcPr>
            <w:tcW w:w="155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提供产品技术参数的相关证明材料。</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vMerge w:val="continue"/>
            <w:noWrap w:val="0"/>
            <w:vAlign w:val="center"/>
          </w:tcPr>
          <w:p>
            <w:pPr>
              <w:spacing w:line="300" w:lineRule="exact"/>
              <w:jc w:val="center"/>
              <w:rPr>
                <w:rFonts w:hint="eastAsia" w:asciiTheme="majorEastAsia" w:hAnsiTheme="majorEastAsia" w:eastAsiaTheme="majorEastAsia" w:cstheme="majorEastAsia"/>
                <w:b/>
                <w:color w:val="auto"/>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strike w:val="0"/>
                <w:dstrike w:val="0"/>
                <w:color w:val="auto"/>
                <w:sz w:val="21"/>
                <w:szCs w:val="21"/>
              </w:rPr>
            </w:pPr>
            <w:r>
              <w:rPr>
                <w:rFonts w:hint="eastAsia" w:asciiTheme="majorEastAsia" w:hAnsiTheme="majorEastAsia" w:eastAsiaTheme="majorEastAsia" w:cstheme="majorEastAsia"/>
                <w:b/>
                <w:strike w:val="0"/>
                <w:dstrike w:val="0"/>
                <w:color w:val="auto"/>
                <w:sz w:val="21"/>
                <w:szCs w:val="21"/>
                <w:lang w:eastAsia="zh-CN"/>
              </w:rPr>
              <w:t>投标商制造能力</w:t>
            </w:r>
          </w:p>
        </w:tc>
        <w:tc>
          <w:tcPr>
            <w:tcW w:w="6095" w:type="dxa"/>
            <w:noWrap w:val="0"/>
            <w:vAlign w:val="center"/>
          </w:tcPr>
          <w:p>
            <w:pPr>
              <w:widowControl/>
              <w:spacing w:after="5"/>
              <w:ind w:right="157"/>
              <w:rPr>
                <w:rFonts w:hint="eastAsia" w:asciiTheme="majorEastAsia" w:hAnsiTheme="majorEastAsia" w:eastAsiaTheme="majorEastAsia" w:cstheme="majorEastAsia"/>
                <w:strike w:val="0"/>
                <w:dstrike w:val="0"/>
                <w:color w:val="auto"/>
                <w:sz w:val="21"/>
                <w:szCs w:val="21"/>
              </w:rPr>
            </w:pPr>
            <w:r>
              <w:rPr>
                <w:rFonts w:hint="eastAsia" w:asciiTheme="majorEastAsia" w:hAnsiTheme="majorEastAsia" w:eastAsiaTheme="majorEastAsia" w:cstheme="majorEastAsia"/>
                <w:strike w:val="0"/>
                <w:dstrike w:val="0"/>
                <w:color w:val="auto"/>
                <w:sz w:val="21"/>
                <w:szCs w:val="21"/>
              </w:rPr>
              <w:t>提供钢木书架流水线制造主要设备：数控折弯</w:t>
            </w:r>
            <w:r>
              <w:rPr>
                <w:rFonts w:hint="eastAsia" w:asciiTheme="majorEastAsia" w:hAnsiTheme="majorEastAsia" w:eastAsiaTheme="majorEastAsia" w:cstheme="majorEastAsia"/>
                <w:strike w:val="0"/>
                <w:dstrike w:val="0"/>
                <w:color w:val="auto"/>
                <w:sz w:val="21"/>
                <w:szCs w:val="21"/>
              </w:rPr>
              <w:t>机、激光切割机、数控冲床、喷涂流水线、顶板成型机、档棒成型机、立柱成型机、挂板成型机、托板成型机、焊接机器人的设备购买</w:t>
            </w:r>
            <w:r>
              <w:rPr>
                <w:rFonts w:hint="eastAsia" w:asciiTheme="majorEastAsia" w:hAnsiTheme="majorEastAsia" w:eastAsiaTheme="majorEastAsia" w:cstheme="majorEastAsia"/>
                <w:strike w:val="0"/>
                <w:dstrike w:val="0"/>
                <w:color w:val="auto"/>
                <w:sz w:val="21"/>
                <w:szCs w:val="21"/>
                <w:lang w:eastAsia="zh-CN"/>
              </w:rPr>
              <w:t>或租赁</w:t>
            </w:r>
            <w:r>
              <w:rPr>
                <w:rFonts w:hint="eastAsia" w:asciiTheme="majorEastAsia" w:hAnsiTheme="majorEastAsia" w:eastAsiaTheme="majorEastAsia" w:cstheme="majorEastAsia"/>
                <w:strike w:val="0"/>
                <w:dstrike w:val="0"/>
                <w:color w:val="auto"/>
                <w:sz w:val="21"/>
                <w:szCs w:val="21"/>
              </w:rPr>
              <w:t>合同</w:t>
            </w:r>
            <w:r>
              <w:rPr>
                <w:rFonts w:hint="eastAsia" w:asciiTheme="majorEastAsia" w:hAnsiTheme="majorEastAsia" w:eastAsiaTheme="majorEastAsia" w:cstheme="majorEastAsia"/>
                <w:strike w:val="0"/>
                <w:dstrike w:val="0"/>
                <w:color w:val="auto"/>
                <w:sz w:val="21"/>
                <w:szCs w:val="21"/>
                <w:highlight w:val="none"/>
              </w:rPr>
              <w:t>（</w:t>
            </w:r>
            <w:r>
              <w:rPr>
                <w:rFonts w:hint="eastAsia" w:asciiTheme="majorEastAsia" w:hAnsiTheme="majorEastAsia" w:eastAsiaTheme="majorEastAsia" w:cstheme="majorEastAsia"/>
                <w:strike w:val="0"/>
                <w:dstrike w:val="0"/>
                <w:color w:val="auto"/>
                <w:sz w:val="21"/>
                <w:szCs w:val="21"/>
                <w:highlight w:val="none"/>
                <w:lang w:eastAsia="zh-CN"/>
              </w:rPr>
              <w:t>或</w:t>
            </w:r>
            <w:r>
              <w:rPr>
                <w:rFonts w:hint="eastAsia" w:asciiTheme="majorEastAsia" w:hAnsiTheme="majorEastAsia" w:eastAsiaTheme="majorEastAsia" w:cstheme="majorEastAsia"/>
                <w:strike w:val="0"/>
                <w:dstrike w:val="0"/>
                <w:color w:val="auto"/>
                <w:sz w:val="21"/>
                <w:szCs w:val="21"/>
                <w:highlight w:val="none"/>
              </w:rPr>
              <w:t>发票）</w:t>
            </w:r>
            <w:r>
              <w:rPr>
                <w:rFonts w:hint="eastAsia" w:asciiTheme="majorEastAsia" w:hAnsiTheme="majorEastAsia" w:eastAsiaTheme="majorEastAsia" w:cstheme="majorEastAsia"/>
                <w:strike w:val="0"/>
                <w:dstrike w:val="0"/>
                <w:color w:val="auto"/>
                <w:sz w:val="21"/>
                <w:szCs w:val="21"/>
                <w:highlight w:val="none"/>
                <w:lang w:eastAsia="zh-CN"/>
              </w:rPr>
              <w:t>及</w:t>
            </w:r>
            <w:r>
              <w:rPr>
                <w:rFonts w:hint="eastAsia" w:asciiTheme="majorEastAsia" w:hAnsiTheme="majorEastAsia" w:eastAsiaTheme="majorEastAsia" w:cstheme="majorEastAsia"/>
                <w:strike w:val="0"/>
                <w:dstrike w:val="0"/>
                <w:color w:val="auto"/>
                <w:sz w:val="21"/>
                <w:szCs w:val="21"/>
              </w:rPr>
              <w:t>设备图片来确定投标人</w:t>
            </w:r>
            <w:r>
              <w:rPr>
                <w:rFonts w:hint="eastAsia" w:asciiTheme="majorEastAsia" w:hAnsiTheme="majorEastAsia" w:eastAsiaTheme="majorEastAsia" w:cstheme="majorEastAsia"/>
                <w:strike w:val="0"/>
                <w:dstrike w:val="0"/>
                <w:color w:val="auto"/>
                <w:sz w:val="21"/>
                <w:szCs w:val="21"/>
                <w:lang w:eastAsia="zh-CN"/>
              </w:rPr>
              <w:t>制造能力</w:t>
            </w:r>
            <w:r>
              <w:rPr>
                <w:rFonts w:hint="eastAsia" w:asciiTheme="majorEastAsia" w:hAnsiTheme="majorEastAsia" w:eastAsiaTheme="majorEastAsia" w:cstheme="majorEastAsia"/>
                <w:strike w:val="0"/>
                <w:dstrike w:val="0"/>
                <w:color w:val="auto"/>
                <w:sz w:val="21"/>
                <w:szCs w:val="21"/>
              </w:rPr>
              <w:t>，提供齐全</w:t>
            </w:r>
            <w:r>
              <w:rPr>
                <w:rFonts w:hint="eastAsia" w:asciiTheme="majorEastAsia" w:hAnsiTheme="majorEastAsia" w:eastAsiaTheme="majorEastAsia" w:cstheme="majorEastAsia"/>
                <w:strike w:val="0"/>
                <w:dstrike w:val="0"/>
                <w:color w:val="auto"/>
                <w:sz w:val="21"/>
                <w:szCs w:val="21"/>
              </w:rPr>
              <w:t>得10分，每缺少一项设备扣1分。</w:t>
            </w:r>
          </w:p>
        </w:tc>
        <w:tc>
          <w:tcPr>
            <w:tcW w:w="1559" w:type="dxa"/>
            <w:noWrap w:val="0"/>
            <w:vAlign w:val="center"/>
          </w:tcPr>
          <w:p>
            <w:pPr>
              <w:spacing w:line="300" w:lineRule="exact"/>
              <w:jc w:val="center"/>
              <w:rPr>
                <w:rFonts w:hint="eastAsia" w:asciiTheme="majorEastAsia" w:hAnsiTheme="majorEastAsia" w:eastAsiaTheme="majorEastAsia" w:cstheme="majorEastAsia"/>
                <w:strike w:val="0"/>
                <w:dstrike w:val="0"/>
                <w:color w:val="auto"/>
                <w:sz w:val="21"/>
                <w:szCs w:val="21"/>
              </w:rPr>
            </w:pPr>
            <w:r>
              <w:rPr>
                <w:rFonts w:hint="eastAsia" w:asciiTheme="majorEastAsia" w:hAnsiTheme="majorEastAsia" w:eastAsiaTheme="majorEastAsia" w:cstheme="majorEastAsia"/>
                <w:strike w:val="0"/>
                <w:dstrike w:val="0"/>
                <w:color w:val="auto"/>
                <w:sz w:val="21"/>
                <w:szCs w:val="21"/>
              </w:rPr>
              <w:t>提供设备购置</w:t>
            </w:r>
            <w:r>
              <w:rPr>
                <w:rFonts w:hint="eastAsia" w:asciiTheme="majorEastAsia" w:hAnsiTheme="majorEastAsia" w:eastAsiaTheme="majorEastAsia" w:cstheme="majorEastAsia"/>
                <w:strike w:val="0"/>
                <w:dstrike w:val="0"/>
                <w:color w:val="auto"/>
                <w:sz w:val="21"/>
                <w:szCs w:val="21"/>
                <w:lang w:eastAsia="zh-CN"/>
              </w:rPr>
              <w:t>或租赁</w:t>
            </w:r>
            <w:r>
              <w:rPr>
                <w:rFonts w:hint="eastAsia" w:asciiTheme="majorEastAsia" w:hAnsiTheme="majorEastAsia" w:eastAsiaTheme="majorEastAsia" w:cstheme="majorEastAsia"/>
                <w:strike w:val="0"/>
                <w:dstrike w:val="0"/>
                <w:color w:val="auto"/>
                <w:sz w:val="21"/>
                <w:szCs w:val="21"/>
              </w:rPr>
              <w:t>的合同</w:t>
            </w:r>
            <w:r>
              <w:rPr>
                <w:rFonts w:hint="eastAsia" w:asciiTheme="majorEastAsia" w:hAnsiTheme="majorEastAsia" w:eastAsiaTheme="majorEastAsia" w:cstheme="majorEastAsia"/>
                <w:strike w:val="0"/>
                <w:dstrike w:val="0"/>
                <w:color w:val="auto"/>
                <w:sz w:val="21"/>
                <w:szCs w:val="21"/>
                <w:lang w:eastAsia="zh-CN"/>
              </w:rPr>
              <w:t>（或</w:t>
            </w:r>
            <w:r>
              <w:rPr>
                <w:rFonts w:hint="eastAsia" w:asciiTheme="majorEastAsia" w:hAnsiTheme="majorEastAsia" w:eastAsiaTheme="majorEastAsia" w:cstheme="majorEastAsia"/>
                <w:strike w:val="0"/>
                <w:dstrike w:val="0"/>
                <w:color w:val="auto"/>
                <w:sz w:val="21"/>
                <w:szCs w:val="21"/>
              </w:rPr>
              <w:t>发票</w:t>
            </w:r>
            <w:r>
              <w:rPr>
                <w:rFonts w:hint="eastAsia" w:asciiTheme="majorEastAsia" w:hAnsiTheme="majorEastAsia" w:eastAsiaTheme="majorEastAsia" w:cstheme="majorEastAsia"/>
                <w:strike w:val="0"/>
                <w:dstrike w:val="0"/>
                <w:color w:val="auto"/>
                <w:sz w:val="21"/>
                <w:szCs w:val="21"/>
                <w:lang w:eastAsia="zh-CN"/>
              </w:rPr>
              <w:t>）及</w:t>
            </w:r>
            <w:r>
              <w:rPr>
                <w:rFonts w:hint="eastAsia" w:asciiTheme="majorEastAsia" w:hAnsiTheme="majorEastAsia" w:eastAsiaTheme="majorEastAsia" w:cstheme="majorEastAsia"/>
                <w:strike w:val="0"/>
                <w:dstrike w:val="0"/>
                <w:color w:val="auto"/>
                <w:sz w:val="21"/>
                <w:szCs w:val="21"/>
              </w:rPr>
              <w:t>图片</w:t>
            </w:r>
            <w:r>
              <w:rPr>
                <w:rFonts w:hint="eastAsia" w:asciiTheme="majorEastAsia" w:hAnsiTheme="majorEastAsia" w:eastAsiaTheme="majorEastAsia" w:cstheme="majorEastAsia"/>
                <w:strike w:val="0"/>
                <w:dstrike w:val="0"/>
                <w:color w:val="auto"/>
                <w:sz w:val="21"/>
                <w:szCs w:val="21"/>
              </w:rPr>
              <w:t>材料</w:t>
            </w:r>
            <w:r>
              <w:rPr>
                <w:rFonts w:hint="eastAsia" w:asciiTheme="majorEastAsia" w:hAnsiTheme="majorEastAsia" w:eastAsiaTheme="majorEastAsia" w:cstheme="majorEastAsia"/>
                <w:strike w:val="0"/>
                <w:dstrike w:val="0"/>
                <w:color w:val="auto"/>
                <w:sz w:val="21"/>
                <w:szCs w:val="21"/>
                <w:lang w:eastAsia="zh-CN"/>
              </w:rPr>
              <w:t>的复印件</w:t>
            </w:r>
            <w:r>
              <w:rPr>
                <w:rFonts w:hint="eastAsia" w:asciiTheme="majorEastAsia" w:hAnsiTheme="majorEastAsia" w:eastAsiaTheme="majorEastAsia" w:cstheme="majorEastAsia"/>
                <w:strike w:val="0"/>
                <w:dstrike w:val="0"/>
                <w:color w:val="auto"/>
                <w:sz w:val="21"/>
                <w:szCs w:val="21"/>
              </w:rPr>
              <w:t>，装订入投标文件</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vMerge w:val="continue"/>
            <w:noWrap w:val="0"/>
            <w:vAlign w:val="center"/>
          </w:tcPr>
          <w:p>
            <w:pPr>
              <w:spacing w:line="300" w:lineRule="exact"/>
              <w:jc w:val="center"/>
              <w:rPr>
                <w:rFonts w:hint="eastAsia" w:asciiTheme="majorEastAsia" w:hAnsiTheme="majorEastAsia" w:eastAsiaTheme="majorEastAsia" w:cstheme="majorEastAsia"/>
                <w:b/>
                <w:color w:val="auto"/>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检测报告</w:t>
            </w:r>
          </w:p>
        </w:tc>
        <w:tc>
          <w:tcPr>
            <w:tcW w:w="6095" w:type="dxa"/>
            <w:noWrap w:val="0"/>
            <w:vAlign w:val="center"/>
          </w:tcPr>
          <w:p>
            <w:pPr>
              <w:widowControl/>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1．提供自开标截至之日起前三年以来检测的符合ROHS指令标准的喷涂粉末检测报告得2分，没有不得分。</w:t>
            </w:r>
          </w:p>
          <w:p>
            <w:pPr>
              <w:widowControl/>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2．提供自开标截至之日起前三年具有CNAS中国认可国际互认检测机构出具的《金属表面防霉静电喷涂》的检测报告。报告等级为0级得</w:t>
            </w:r>
            <w:r>
              <w:rPr>
                <w:rFonts w:hint="eastAsia" w:asciiTheme="majorEastAsia" w:hAnsiTheme="majorEastAsia" w:eastAsiaTheme="majorEastAsia" w:cstheme="majorEastAsia"/>
                <w:color w:val="auto"/>
                <w:sz w:val="21"/>
                <w:szCs w:val="21"/>
              </w:rPr>
              <w:t>3</w:t>
            </w:r>
            <w:r>
              <w:rPr>
                <w:rFonts w:hint="eastAsia" w:asciiTheme="majorEastAsia" w:hAnsiTheme="majorEastAsia" w:eastAsiaTheme="majorEastAsia" w:cstheme="majorEastAsia"/>
                <w:color w:val="auto"/>
                <w:sz w:val="21"/>
                <w:szCs w:val="21"/>
              </w:rPr>
              <w:t>分，1级得2分，2级得1分，3级不得分。</w:t>
            </w:r>
          </w:p>
          <w:p>
            <w:pPr>
              <w:widowControl/>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3．提供自开标截至之日起前三年省级或省级以上质检部门出具的冷轧钢板涂层检测报告（耐酸性（3%HCL）≥240h,耐湿热性≥500h，耐盐雾性≥500h，附着力≥1级，涂膜外观正常，硬度≥H级）得3分，没有不得分。</w:t>
            </w:r>
          </w:p>
        </w:tc>
        <w:tc>
          <w:tcPr>
            <w:tcW w:w="155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提供检测报告复印件，装订入投标文件</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vMerge w:val="continue"/>
            <w:noWrap w:val="0"/>
            <w:vAlign w:val="center"/>
          </w:tcPr>
          <w:p>
            <w:pPr>
              <w:spacing w:line="300" w:lineRule="exact"/>
              <w:jc w:val="center"/>
              <w:rPr>
                <w:rFonts w:hint="eastAsia" w:asciiTheme="majorEastAsia" w:hAnsiTheme="majorEastAsia" w:eastAsiaTheme="majorEastAsia" w:cstheme="majorEastAsia"/>
                <w:b/>
                <w:color w:val="auto"/>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人员配备</w:t>
            </w:r>
          </w:p>
        </w:tc>
        <w:tc>
          <w:tcPr>
            <w:tcW w:w="6095" w:type="dxa"/>
            <w:noWrap w:val="0"/>
            <w:vAlign w:val="center"/>
          </w:tcPr>
          <w:p>
            <w:pPr>
              <w:widowControl/>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拟派的图书上架定位</w:t>
            </w:r>
            <w:r>
              <w:rPr>
                <w:rFonts w:hint="eastAsia" w:asciiTheme="majorEastAsia" w:hAnsiTheme="majorEastAsia" w:eastAsiaTheme="majorEastAsia" w:cstheme="majorEastAsia"/>
                <w:bCs/>
                <w:color w:val="auto"/>
                <w:sz w:val="21"/>
                <w:szCs w:val="21"/>
              </w:rPr>
              <w:t>加工队伍需具有专业性，队伍成员中</w:t>
            </w:r>
            <w:r>
              <w:rPr>
                <w:rFonts w:hint="eastAsia" w:asciiTheme="majorEastAsia" w:hAnsiTheme="majorEastAsia" w:eastAsiaTheme="majorEastAsia" w:cstheme="majorEastAsia"/>
                <w:color w:val="auto"/>
                <w:sz w:val="21"/>
                <w:szCs w:val="21"/>
              </w:rPr>
              <w:t>具有中国高等教育文献保障系统颁发的CALIS中文编目员证书的，每提供一个得2分，最高得</w:t>
            </w:r>
            <w:r>
              <w:rPr>
                <w:rFonts w:hint="eastAsia" w:asciiTheme="majorEastAsia" w:hAnsiTheme="majorEastAsia" w:eastAsiaTheme="majorEastAsia" w:cstheme="majorEastAsia"/>
                <w:color w:val="auto"/>
                <w:sz w:val="21"/>
                <w:szCs w:val="21"/>
              </w:rPr>
              <w:t>8</w:t>
            </w:r>
            <w:r>
              <w:rPr>
                <w:rFonts w:hint="eastAsia" w:asciiTheme="majorEastAsia" w:hAnsiTheme="majorEastAsia" w:eastAsiaTheme="majorEastAsia" w:cstheme="majorEastAsia"/>
                <w:color w:val="auto"/>
                <w:sz w:val="21"/>
                <w:szCs w:val="21"/>
              </w:rPr>
              <w:t>分。</w:t>
            </w:r>
          </w:p>
        </w:tc>
        <w:tc>
          <w:tcPr>
            <w:tcW w:w="155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提供证书复印件件，装订入投标文件</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vMerge w:val="continue"/>
            <w:noWrap w:val="0"/>
            <w:vAlign w:val="center"/>
          </w:tcPr>
          <w:p>
            <w:pPr>
              <w:spacing w:line="300" w:lineRule="exact"/>
              <w:jc w:val="center"/>
              <w:rPr>
                <w:rFonts w:hint="eastAsia" w:asciiTheme="majorEastAsia" w:hAnsiTheme="majorEastAsia" w:eastAsiaTheme="majorEastAsia" w:cstheme="majorEastAsia"/>
                <w:b/>
                <w:color w:val="auto"/>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样品</w:t>
            </w:r>
          </w:p>
        </w:tc>
        <w:tc>
          <w:tcPr>
            <w:tcW w:w="6095" w:type="dxa"/>
            <w:noWrap w:val="0"/>
            <w:vAlign w:val="center"/>
          </w:tcPr>
          <w:p>
            <w:pPr>
              <w:widowControl/>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评委根据投标供应商提供的样品进行综合评审：</w:t>
            </w:r>
          </w:p>
          <w:p>
            <w:pPr>
              <w:widowControl/>
              <w:numPr>
                <w:ilvl w:val="0"/>
                <w:numId w:val="2"/>
              </w:numPr>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尺寸规格符合要求得2分，不符合不得分；</w:t>
            </w:r>
          </w:p>
          <w:p>
            <w:pPr>
              <w:widowControl/>
              <w:numPr>
                <w:ilvl w:val="0"/>
                <w:numId w:val="2"/>
              </w:numPr>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材质优良得</w:t>
            </w: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分，材质一般得</w:t>
            </w:r>
            <w:r>
              <w:rPr>
                <w:rFonts w:hint="eastAsia" w:asciiTheme="majorEastAsia" w:hAnsiTheme="majorEastAsia" w:eastAsiaTheme="majorEastAsia" w:cstheme="majorEastAsia"/>
                <w:color w:val="auto"/>
                <w:sz w:val="21"/>
                <w:szCs w:val="21"/>
                <w:lang w:val="en-US" w:eastAsia="zh-CN"/>
              </w:rPr>
              <w:t>1.5</w:t>
            </w:r>
            <w:r>
              <w:rPr>
                <w:rFonts w:hint="eastAsia" w:asciiTheme="majorEastAsia" w:hAnsiTheme="majorEastAsia" w:eastAsiaTheme="majorEastAsia" w:cstheme="majorEastAsia"/>
                <w:color w:val="auto"/>
                <w:sz w:val="21"/>
                <w:szCs w:val="21"/>
              </w:rPr>
              <w:t>分，材质较差不得分；</w:t>
            </w:r>
          </w:p>
          <w:p>
            <w:pPr>
              <w:widowControl/>
              <w:numPr>
                <w:ilvl w:val="0"/>
                <w:numId w:val="2"/>
              </w:numPr>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工艺先进得</w:t>
            </w: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分，工艺一般得</w:t>
            </w:r>
            <w:r>
              <w:rPr>
                <w:rFonts w:hint="eastAsia" w:asciiTheme="majorEastAsia" w:hAnsiTheme="majorEastAsia" w:eastAsiaTheme="majorEastAsia" w:cstheme="majorEastAsia"/>
                <w:color w:val="auto"/>
                <w:sz w:val="21"/>
                <w:szCs w:val="21"/>
                <w:lang w:val="en-US" w:eastAsia="zh-CN"/>
              </w:rPr>
              <w:t>1.5</w:t>
            </w:r>
            <w:r>
              <w:rPr>
                <w:rFonts w:hint="eastAsia" w:asciiTheme="majorEastAsia" w:hAnsiTheme="majorEastAsia" w:eastAsiaTheme="majorEastAsia" w:cstheme="majorEastAsia"/>
                <w:color w:val="auto"/>
                <w:sz w:val="21"/>
                <w:szCs w:val="21"/>
              </w:rPr>
              <w:t>分，工艺有瑕疵不得分；</w:t>
            </w:r>
          </w:p>
          <w:p>
            <w:pPr>
              <w:widowControl/>
              <w:numPr>
                <w:ilvl w:val="0"/>
                <w:numId w:val="2"/>
              </w:numPr>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结构性能以及零部件质量优异得</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分，质量一般的不得分。</w:t>
            </w:r>
          </w:p>
          <w:p>
            <w:pPr>
              <w:widowControl/>
              <w:spacing w:after="5"/>
              <w:ind w:left="360"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（投标的样品材质须与所投产品一致，否则不得分）</w:t>
            </w:r>
          </w:p>
        </w:tc>
        <w:tc>
          <w:tcPr>
            <w:tcW w:w="155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由投标人按照要求</w:t>
            </w:r>
            <w:r>
              <w:rPr>
                <w:rFonts w:hint="eastAsia" w:asciiTheme="majorEastAsia" w:hAnsiTheme="majorEastAsia" w:eastAsiaTheme="majorEastAsia" w:cstheme="majorEastAsia"/>
                <w:color w:val="auto"/>
                <w:sz w:val="21"/>
                <w:szCs w:val="21"/>
              </w:rPr>
              <w:t>提供样品</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704" w:type="dxa"/>
            <w:vMerge w:val="continue"/>
            <w:noWrap w:val="0"/>
            <w:vAlign w:val="center"/>
          </w:tcPr>
          <w:p>
            <w:pPr>
              <w:spacing w:line="300" w:lineRule="exact"/>
              <w:rPr>
                <w:rFonts w:hint="eastAsia" w:asciiTheme="majorEastAsia" w:hAnsiTheme="majorEastAsia" w:eastAsiaTheme="majorEastAsia" w:cstheme="majorEastAsia"/>
                <w:color w:val="auto"/>
                <w:spacing w:val="-12"/>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权威认证</w:t>
            </w:r>
          </w:p>
        </w:tc>
        <w:tc>
          <w:tcPr>
            <w:tcW w:w="6095" w:type="dxa"/>
            <w:noWrap w:val="0"/>
            <w:vAlign w:val="center"/>
          </w:tcPr>
          <w:p>
            <w:pPr>
              <w:widowControl/>
              <w:spacing w:after="5"/>
              <w:ind w:right="157"/>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投标人所投</w:t>
            </w:r>
            <w:r>
              <w:rPr>
                <w:rFonts w:hint="eastAsia" w:asciiTheme="majorEastAsia" w:hAnsiTheme="majorEastAsia" w:eastAsiaTheme="majorEastAsia" w:cstheme="majorEastAsia"/>
                <w:color w:val="auto"/>
                <w:sz w:val="21"/>
                <w:szCs w:val="21"/>
                <w:lang w:eastAsia="zh-CN"/>
              </w:rPr>
              <w:t>书架</w:t>
            </w:r>
            <w:r>
              <w:rPr>
                <w:rFonts w:hint="eastAsia" w:asciiTheme="majorEastAsia" w:hAnsiTheme="majorEastAsia" w:eastAsiaTheme="majorEastAsia" w:cstheme="majorEastAsia"/>
                <w:color w:val="auto"/>
                <w:sz w:val="21"/>
                <w:szCs w:val="21"/>
              </w:rPr>
              <w:t>获得中国环境标志产品认证证书（有效期内），提供的得2分，没有不得分。</w:t>
            </w:r>
          </w:p>
        </w:tc>
        <w:tc>
          <w:tcPr>
            <w:tcW w:w="1559" w:type="dxa"/>
            <w:noWrap w:val="0"/>
            <w:vAlign w:val="center"/>
          </w:tcPr>
          <w:p>
            <w:pPr>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提供证书复印件，装订入投标文件</w:t>
            </w:r>
          </w:p>
        </w:tc>
        <w:tc>
          <w:tcPr>
            <w:tcW w:w="709" w:type="dxa"/>
            <w:noWrap w:val="0"/>
            <w:vAlign w:val="center"/>
          </w:tcPr>
          <w:p>
            <w:pPr>
              <w:spacing w:line="300" w:lineRule="exact"/>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04" w:type="dxa"/>
            <w:vMerge w:val="continue"/>
            <w:noWrap w:val="0"/>
            <w:vAlign w:val="center"/>
          </w:tcPr>
          <w:p>
            <w:pPr>
              <w:autoSpaceDE w:val="0"/>
              <w:autoSpaceDN w:val="0"/>
              <w:adjustRightInd w:val="0"/>
              <w:spacing w:line="300" w:lineRule="exact"/>
              <w:rPr>
                <w:rFonts w:hint="eastAsia" w:asciiTheme="majorEastAsia" w:hAnsiTheme="majorEastAsia" w:eastAsiaTheme="majorEastAsia" w:cstheme="majorEastAsia"/>
                <w:color w:val="auto"/>
                <w:spacing w:val="-12"/>
                <w:sz w:val="21"/>
                <w:szCs w:val="21"/>
              </w:rPr>
            </w:pPr>
          </w:p>
        </w:tc>
        <w:tc>
          <w:tcPr>
            <w:tcW w:w="709" w:type="dxa"/>
            <w:noWrap w:val="0"/>
            <w:vAlign w:val="center"/>
          </w:tcPr>
          <w:p>
            <w:pPr>
              <w:spacing w:line="300" w:lineRule="exact"/>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成功案例及业绩</w:t>
            </w:r>
          </w:p>
        </w:tc>
        <w:tc>
          <w:tcPr>
            <w:tcW w:w="6095" w:type="dxa"/>
            <w:noWrap w:val="0"/>
            <w:vAlign w:val="center"/>
          </w:tcPr>
          <w:p>
            <w:pPr>
              <w:widowControl/>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投标人自开标截止之日起前三年成功实施的钢木书架业绩或案例，每提供一个合同案例得</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分，最多得</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分。</w:t>
            </w:r>
          </w:p>
        </w:tc>
        <w:tc>
          <w:tcPr>
            <w:tcW w:w="1559" w:type="dxa"/>
            <w:noWrap w:val="0"/>
            <w:vAlign w:val="center"/>
          </w:tcPr>
          <w:p>
            <w:pPr>
              <w:autoSpaceDE w:val="0"/>
              <w:autoSpaceDN w:val="0"/>
              <w:adjustRightInd w:val="0"/>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提供合同和</w:t>
            </w:r>
            <w:r>
              <w:rPr>
                <w:rFonts w:hint="eastAsia" w:asciiTheme="majorEastAsia" w:hAnsiTheme="majorEastAsia" w:eastAsiaTheme="majorEastAsia" w:cstheme="majorEastAsia"/>
                <w:color w:val="auto"/>
                <w:sz w:val="21"/>
                <w:szCs w:val="21"/>
              </w:rPr>
              <w:t>验收报告的复印件</w:t>
            </w:r>
          </w:p>
        </w:tc>
        <w:tc>
          <w:tcPr>
            <w:tcW w:w="709" w:type="dxa"/>
            <w:noWrap w:val="0"/>
            <w:vAlign w:val="center"/>
          </w:tcPr>
          <w:p>
            <w:pPr>
              <w:autoSpaceDE w:val="0"/>
              <w:autoSpaceDN w:val="0"/>
              <w:adjustRightInd w:val="0"/>
              <w:spacing w:line="300" w:lineRule="exact"/>
              <w:jc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04" w:type="dxa"/>
            <w:noWrap w:val="0"/>
            <w:vAlign w:val="center"/>
          </w:tcPr>
          <w:p>
            <w:pPr>
              <w:autoSpaceDE w:val="0"/>
              <w:autoSpaceDN w:val="0"/>
              <w:adjustRightInd w:val="0"/>
              <w:spacing w:line="300" w:lineRule="exact"/>
              <w:jc w:val="center"/>
              <w:rPr>
                <w:rFonts w:hint="eastAsia" w:asciiTheme="majorEastAsia" w:hAnsiTheme="majorEastAsia" w:eastAsiaTheme="majorEastAsia" w:cstheme="majorEastAsia"/>
                <w:color w:val="auto"/>
                <w:spacing w:val="-12"/>
                <w:sz w:val="21"/>
                <w:szCs w:val="21"/>
              </w:rPr>
            </w:pPr>
            <w:r>
              <w:rPr>
                <w:rFonts w:hint="eastAsia" w:asciiTheme="majorEastAsia" w:hAnsiTheme="majorEastAsia" w:eastAsiaTheme="majorEastAsia" w:cstheme="majorEastAsia"/>
                <w:color w:val="auto"/>
                <w:spacing w:val="-12"/>
                <w:sz w:val="21"/>
                <w:szCs w:val="21"/>
              </w:rPr>
              <w:t>报价部分评分</w:t>
            </w:r>
          </w:p>
        </w:tc>
        <w:tc>
          <w:tcPr>
            <w:tcW w:w="6804" w:type="dxa"/>
            <w:gridSpan w:val="2"/>
            <w:noWrap w:val="0"/>
            <w:vAlign w:val="center"/>
          </w:tcPr>
          <w:p>
            <w:pPr>
              <w:spacing w:line="30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根据各投标人的最终有效投标报价，以满足招标文件要求且最终有效投标价格最低的投标报价为评标基准价，其价格分为满分30分。其它投标人的价格分统一按照下列公式计算：投标报价得分=(评标基准价／投标报价)×30（四舍五入，精确到小数点后二位）。</w:t>
            </w:r>
          </w:p>
        </w:tc>
        <w:tc>
          <w:tcPr>
            <w:tcW w:w="1559" w:type="dxa"/>
            <w:noWrap w:val="0"/>
            <w:vAlign w:val="center"/>
          </w:tcPr>
          <w:p>
            <w:pPr>
              <w:autoSpaceDE w:val="0"/>
              <w:autoSpaceDN w:val="0"/>
              <w:adjustRightInd w:val="0"/>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以报价表中的金额为准</w:t>
            </w:r>
          </w:p>
        </w:tc>
        <w:tc>
          <w:tcPr>
            <w:tcW w:w="709" w:type="dxa"/>
            <w:noWrap w:val="0"/>
            <w:vAlign w:val="center"/>
          </w:tcPr>
          <w:p>
            <w:pPr>
              <w:autoSpaceDE w:val="0"/>
              <w:autoSpaceDN w:val="0"/>
              <w:adjustRightInd w:val="0"/>
              <w:spacing w:line="300" w:lineRule="exact"/>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30</w:t>
            </w:r>
          </w:p>
        </w:tc>
      </w:tr>
    </w:tbl>
    <w:p>
      <w:pPr>
        <w:numPr>
          <w:ilvl w:val="0"/>
          <w:numId w:val="0"/>
        </w:numPr>
        <w:rPr>
          <w:rFonts w:hint="eastAsia" w:asciiTheme="majorEastAsia" w:hAnsiTheme="majorEastAsia" w:eastAsiaTheme="majorEastAsia" w:cstheme="majorEastAsia"/>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FDE"/>
    <w:multiLevelType w:val="multilevel"/>
    <w:tmpl w:val="0BDC1F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FD5DA6"/>
    <w:multiLevelType w:val="singleLevel"/>
    <w:tmpl w:val="5FFD5D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375F0"/>
    <w:rsid w:val="0A631FDC"/>
    <w:rsid w:val="0A967E76"/>
    <w:rsid w:val="11C20AAC"/>
    <w:rsid w:val="163D3252"/>
    <w:rsid w:val="17A026B2"/>
    <w:rsid w:val="23032B1C"/>
    <w:rsid w:val="25981D94"/>
    <w:rsid w:val="2C555377"/>
    <w:rsid w:val="2EA53EA1"/>
    <w:rsid w:val="37690C9D"/>
    <w:rsid w:val="45AD65A8"/>
    <w:rsid w:val="47303B78"/>
    <w:rsid w:val="48647E07"/>
    <w:rsid w:val="4E275DB8"/>
    <w:rsid w:val="5C850B25"/>
    <w:rsid w:val="615549F0"/>
    <w:rsid w:val="64192675"/>
    <w:rsid w:val="657547FA"/>
    <w:rsid w:val="68130AB2"/>
    <w:rsid w:val="68683E55"/>
    <w:rsid w:val="706D6B96"/>
    <w:rsid w:val="71417F90"/>
    <w:rsid w:val="71544930"/>
    <w:rsid w:val="7D1A0F8C"/>
    <w:rsid w:val="7FAC2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rPr>
      <w:rFonts w:eastAsia="宋体"/>
      <w:kern w:val="2"/>
      <w:sz w:val="21"/>
      <w:szCs w:val="24"/>
      <w:lang w:val="en-US" w:eastAsia="zh-CN" w:bidi="ar-SA"/>
    </w:rPr>
  </w:style>
  <w:style w:type="paragraph" w:styleId="3">
    <w:name w:val="Plain Text"/>
    <w:basedOn w:val="1"/>
    <w:qFormat/>
    <w:uiPriority w:val="0"/>
    <w:rPr>
      <w:rFonts w:ascii="宋体" w:hAnsi="Courier New" w:eastAsia="华文宋体"/>
      <w:kern w:val="2"/>
      <w:sz w:val="28"/>
      <w:lang w:val="en-US" w:eastAsia="zh-CN" w:bidi="ar-SA"/>
    </w:rPr>
  </w:style>
  <w:style w:type="paragraph" w:customStyle="1" w:styleId="6">
    <w:name w:val="正文（绿盟科技）"/>
    <w:qFormat/>
    <w:uiPriority w:val="0"/>
    <w:pPr>
      <w:spacing w:line="300" w:lineRule="auto"/>
    </w:pPr>
    <w:rPr>
      <w:rFonts w:ascii="Arial" w:hAnsi="Arial" w:eastAsiaTheme="minorEastAsia" w:cstheme="minorBidi"/>
      <w:sz w:val="21"/>
      <w:szCs w:val="21"/>
      <w:lang w:val="en-US" w:eastAsia="zh-CN" w:bidi="ar-SA"/>
    </w:rPr>
  </w:style>
  <w:style w:type="paragraph" w:customStyle="1" w:styleId="7">
    <w:name w:val="彩色列表 - 着色 11"/>
    <w:basedOn w:val="1"/>
    <w:qFormat/>
    <w:uiPriority w:val="34"/>
    <w:pPr>
      <w:ind w:firstLine="420" w:firstLineChars="200"/>
      <w:jc w:val="both"/>
    </w:pPr>
    <w:rPr>
      <w:rFonts w:ascii="Calibri" w:hAnsi="Calibri" w:cs="Times New Roman"/>
      <w:color w:val="auto"/>
      <w:kern w:val="2"/>
      <w:sz w:val="21"/>
      <w:szCs w:val="22"/>
      <w:lang w:val="en-US" w:eastAsia="zh-CN"/>
    </w:rPr>
  </w:style>
  <w:style w:type="character" w:customStyle="1" w:styleId="8">
    <w:name w:val="font11"/>
    <w:basedOn w:val="5"/>
    <w:qFormat/>
    <w:uiPriority w:val="0"/>
    <w:rPr>
      <w:rFonts w:hint="eastAsia" w:ascii="宋体" w:hAnsi="宋体" w:eastAsia="宋体" w:cs="宋体"/>
      <w:color w:val="000000"/>
      <w:sz w:val="20"/>
      <w:szCs w:val="20"/>
      <w:u w:val="none"/>
    </w:rPr>
  </w:style>
  <w:style w:type="paragraph" w:customStyle="1" w:styleId="9">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2019-08-26T06:29:45Z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