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49395">
      <w:pPr>
        <w:pStyle w:val="33"/>
        <w:wordWrap w:val="0"/>
        <w:spacing w:line="360" w:lineRule="auto"/>
        <w:jc w:val="center"/>
        <w:rPr>
          <w:rFonts w:hint="eastAsia" w:hAnsi="宋体" w:eastAsia="宋体" w:cs="宋体"/>
          <w:b/>
          <w:color w:val="auto"/>
          <w:sz w:val="56"/>
          <w:szCs w:val="56"/>
          <w:highlight w:val="none"/>
          <w:lang w:val="en-US" w:eastAsia="zh-CN"/>
        </w:rPr>
      </w:pPr>
    </w:p>
    <w:p w14:paraId="0A270FAB">
      <w:pPr>
        <w:tabs>
          <w:tab w:val="left" w:pos="315"/>
          <w:tab w:val="left" w:pos="8820"/>
        </w:tabs>
        <w:spacing w:before="312" w:beforeLines="100" w:after="156" w:afterLines="50" w:line="500" w:lineRule="exact"/>
        <w:ind w:right="305"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铜陵市</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bookmarkEnd w:id="0"/>
    <w:p w14:paraId="76DA4DA7">
      <w:pPr>
        <w:tabs>
          <w:tab w:val="left" w:pos="315"/>
          <w:tab w:val="left" w:pos="8820"/>
        </w:tabs>
        <w:spacing w:before="312" w:beforeLines="100" w:after="156" w:afterLines="50" w:line="500" w:lineRule="exact"/>
        <w:ind w:right="305" w:rightChars="127"/>
        <w:jc w:val="center"/>
        <w:rPr>
          <w:rFonts w:hint="eastAsia" w:ascii="宋体" w:hAnsi="宋体" w:eastAsia="宋体"/>
          <w:b/>
          <w:bCs/>
          <w:color w:val="auto"/>
          <w:sz w:val="52"/>
          <w:szCs w:val="52"/>
          <w:highlight w:val="none"/>
          <w:lang w:eastAsia="zh-CN"/>
        </w:rPr>
      </w:pPr>
    </w:p>
    <w:p w14:paraId="37D4721C">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4B78B673">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7469C90">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FB9880E">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B4F357C">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0742DC25">
      <w:pPr>
        <w:tabs>
          <w:tab w:val="left" w:pos="2410"/>
        </w:tabs>
        <w:autoSpaceDE w:val="0"/>
        <w:autoSpaceDN w:val="0"/>
        <w:adjustRightInd w:val="0"/>
        <w:snapToGrid w:val="0"/>
        <w:spacing w:line="360" w:lineRule="auto"/>
        <w:ind w:firstLine="723" w:firstLineChars="200"/>
        <w:rPr>
          <w:rFonts w:hint="eastAsia" w:ascii="宋体" w:hAnsi="宋体" w:eastAsia="宋体" w:cs="宋体"/>
          <w:b w:val="0"/>
          <w:bCs w:val="0"/>
          <w:color w:val="auto"/>
          <w:sz w:val="19"/>
          <w:szCs w:val="19"/>
        </w:rPr>
      </w:pPr>
      <w:r>
        <w:rPr>
          <w:rFonts w:hint="eastAsia" w:ascii="宋体" w:hAnsi="宋体" w:eastAsia="宋体"/>
          <w:b/>
          <w:color w:val="auto"/>
          <w:spacing w:val="20"/>
          <w:kern w:val="0"/>
          <w:sz w:val="32"/>
          <w:szCs w:val="32"/>
          <w:highlight w:val="none"/>
        </w:rPr>
        <w:t>项目名称：铜陵市</w:t>
      </w:r>
      <w:r>
        <w:rPr>
          <w:rFonts w:hint="eastAsia" w:ascii="宋体" w:hAnsi="宋体" w:eastAsia="宋体"/>
          <w:b/>
          <w:color w:val="auto"/>
          <w:spacing w:val="20"/>
          <w:kern w:val="0"/>
          <w:sz w:val="32"/>
          <w:szCs w:val="32"/>
          <w:highlight w:val="none"/>
          <w:lang w:val="en-US" w:eastAsia="zh-CN"/>
        </w:rPr>
        <w:t>公共资源交易市场（投资大厦）</w:t>
      </w:r>
      <w:r>
        <w:rPr>
          <w:rFonts w:hint="eastAsia" w:ascii="宋体" w:hAnsi="宋体" w:eastAsia="宋体"/>
          <w:b/>
          <w:color w:val="auto"/>
          <w:spacing w:val="20"/>
          <w:kern w:val="0"/>
          <w:sz w:val="32"/>
          <w:szCs w:val="32"/>
          <w:highlight w:val="none"/>
        </w:rPr>
        <w:t>物业服务</w:t>
      </w:r>
    </w:p>
    <w:p w14:paraId="6681115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lang w:val="en-US" w:eastAsia="zh-CN"/>
        </w:rPr>
        <w:t>ZXCG</w:t>
      </w:r>
      <w:r>
        <w:rPr>
          <w:rFonts w:hint="default" w:ascii="宋体" w:hAnsi="宋体" w:eastAsia="宋体"/>
          <w:b/>
          <w:color w:val="auto"/>
          <w:spacing w:val="20"/>
          <w:kern w:val="0"/>
          <w:sz w:val="32"/>
          <w:szCs w:val="32"/>
          <w:highlight w:val="none"/>
        </w:rPr>
        <w:t>2026F00</w:t>
      </w:r>
      <w:r>
        <w:rPr>
          <w:rFonts w:hint="eastAsia" w:ascii="宋体" w:hAnsi="宋体" w:eastAsia="宋体"/>
          <w:b/>
          <w:color w:val="auto"/>
          <w:spacing w:val="20"/>
          <w:kern w:val="0"/>
          <w:sz w:val="32"/>
          <w:szCs w:val="32"/>
          <w:highlight w:val="none"/>
          <w:lang w:val="en-US" w:eastAsia="zh-CN"/>
        </w:rPr>
        <w:t>1</w:t>
      </w:r>
    </w:p>
    <w:p w14:paraId="44AF0417">
      <w:pPr>
        <w:tabs>
          <w:tab w:val="left" w:pos="2410"/>
        </w:tabs>
        <w:autoSpaceDE w:val="0"/>
        <w:autoSpaceDN w:val="0"/>
        <w:adjustRightInd w:val="0"/>
        <w:snapToGrid w:val="0"/>
        <w:spacing w:line="360" w:lineRule="auto"/>
        <w:ind w:firstLine="723" w:firstLineChars="200"/>
        <w:rPr>
          <w:rFonts w:hint="eastAsia" w:ascii="宋体" w:hAnsi="宋体" w:eastAsia="宋体" w:cs="宋体"/>
          <w:b w:val="0"/>
          <w:bCs w:val="0"/>
          <w:color w:val="auto"/>
          <w:sz w:val="21"/>
          <w:szCs w:val="21"/>
        </w:rPr>
      </w:pPr>
      <w:r>
        <w:rPr>
          <w:rFonts w:hint="eastAsia" w:ascii="宋体" w:hAnsi="宋体" w:eastAsia="宋体"/>
          <w:b/>
          <w:color w:val="auto"/>
          <w:spacing w:val="20"/>
          <w:kern w:val="0"/>
          <w:sz w:val="32"/>
          <w:szCs w:val="32"/>
          <w:highlight w:val="none"/>
        </w:rPr>
        <w:t>采 购 人：铜陵市</w:t>
      </w:r>
      <w:r>
        <w:rPr>
          <w:rFonts w:hint="eastAsia" w:ascii="宋体" w:hAnsi="宋体" w:eastAsia="宋体"/>
          <w:b/>
          <w:color w:val="auto"/>
          <w:spacing w:val="20"/>
          <w:kern w:val="0"/>
          <w:sz w:val="32"/>
          <w:szCs w:val="32"/>
          <w:highlight w:val="none"/>
          <w:lang w:val="en-US" w:eastAsia="zh-CN"/>
        </w:rPr>
        <w:t>公共资源交易中心</w:t>
      </w:r>
    </w:p>
    <w:p w14:paraId="3FA3CB5A">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lang w:val="en-US" w:eastAsia="zh-CN"/>
        </w:rPr>
        <w:t>铜陵市公共资源交易中心</w:t>
      </w:r>
    </w:p>
    <w:p w14:paraId="58B26744">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61A4A71C">
      <w:pPr>
        <w:tabs>
          <w:tab w:val="left" w:pos="315"/>
          <w:tab w:val="left" w:pos="8820"/>
        </w:tabs>
        <w:spacing w:before="312" w:beforeLines="100" w:after="156" w:afterLines="50" w:line="500" w:lineRule="exact"/>
        <w:ind w:right="305" w:rightChars="127"/>
        <w:jc w:val="center"/>
        <w:rPr>
          <w:rFonts w:ascii="宋体" w:hAnsi="宋体" w:eastAsia="宋体"/>
          <w:b/>
          <w:bCs/>
          <w:color w:val="auto"/>
          <w:sz w:val="44"/>
          <w:szCs w:val="44"/>
          <w:highlight w:val="none"/>
        </w:rPr>
      </w:pPr>
    </w:p>
    <w:p w14:paraId="7E107BB3">
      <w:pPr>
        <w:ind w:firstLine="3614" w:firstLineChars="1000"/>
        <w:jc w:val="both"/>
        <w:rPr>
          <w:rFonts w:hint="eastAsia"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05</w:t>
      </w:r>
      <w:r>
        <w:rPr>
          <w:rFonts w:hint="eastAsia" w:ascii="宋体" w:hAnsi="宋体" w:eastAsia="宋体"/>
          <w:b/>
          <w:color w:val="auto"/>
          <w:sz w:val="36"/>
          <w:highlight w:val="none"/>
        </w:rPr>
        <w:t>月</w:t>
      </w:r>
    </w:p>
    <w:p w14:paraId="4A2A5F0F">
      <w:pPr>
        <w:pStyle w:val="2"/>
        <w:rPr>
          <w:rFonts w:hint="eastAsia" w:ascii="宋体" w:hAnsi="宋体" w:eastAsia="宋体"/>
          <w:b/>
          <w:color w:val="auto"/>
          <w:sz w:val="36"/>
          <w:highlight w:val="none"/>
        </w:rPr>
      </w:pPr>
    </w:p>
    <w:p w14:paraId="582B459C">
      <w:pPr>
        <w:pStyle w:val="2"/>
        <w:rPr>
          <w:rFonts w:hint="eastAsia" w:ascii="宋体" w:hAnsi="宋体" w:eastAsia="宋体"/>
          <w:b/>
          <w:color w:val="auto"/>
          <w:sz w:val="36"/>
          <w:highlight w:val="none"/>
        </w:rPr>
      </w:pPr>
    </w:p>
    <w:p w14:paraId="5D63EFAD">
      <w:pPr>
        <w:pStyle w:val="2"/>
        <w:rPr>
          <w:rFonts w:hint="eastAsia" w:ascii="宋体" w:hAnsi="宋体" w:eastAsia="宋体"/>
          <w:b/>
          <w:color w:val="auto"/>
          <w:sz w:val="36"/>
          <w:highlight w:val="none"/>
        </w:rPr>
      </w:pPr>
    </w:p>
    <w:p w14:paraId="0E174DCB">
      <w:pPr>
        <w:pStyle w:val="2"/>
        <w:rPr>
          <w:rFonts w:hint="eastAsia" w:ascii="宋体" w:hAnsi="宋体" w:eastAsia="宋体"/>
          <w:b/>
          <w:color w:val="auto"/>
          <w:sz w:val="36"/>
          <w:highlight w:val="none"/>
        </w:rPr>
      </w:pPr>
    </w:p>
    <w:p w14:paraId="048799F5">
      <w:pPr>
        <w:pStyle w:val="2"/>
        <w:rPr>
          <w:rFonts w:hint="eastAsia" w:ascii="宋体" w:hAnsi="宋体" w:eastAsia="宋体"/>
          <w:b/>
          <w:color w:val="auto"/>
          <w:sz w:val="36"/>
          <w:highlight w:val="none"/>
        </w:rPr>
      </w:pPr>
    </w:p>
    <w:p w14:paraId="11B4C7DA">
      <w:pPr>
        <w:pStyle w:val="2"/>
        <w:rPr>
          <w:rFonts w:hint="eastAsia" w:ascii="宋体" w:hAnsi="宋体" w:eastAsia="宋体"/>
          <w:b/>
          <w:color w:val="auto"/>
          <w:sz w:val="36"/>
          <w:highlight w:val="none"/>
        </w:rPr>
      </w:pPr>
    </w:p>
    <w:p w14:paraId="12E9685F">
      <w:pPr>
        <w:pStyle w:val="2"/>
        <w:rPr>
          <w:rFonts w:hint="eastAsia" w:ascii="宋体" w:hAnsi="宋体" w:eastAsia="宋体"/>
          <w:b/>
          <w:color w:val="auto"/>
          <w:sz w:val="36"/>
          <w:highlight w:val="none"/>
        </w:rPr>
      </w:pPr>
    </w:p>
    <w:p w14:paraId="64951CCD">
      <w:pPr>
        <w:tabs>
          <w:tab w:val="left" w:pos="1447"/>
        </w:tabs>
        <w:spacing w:before="0" w:line="460" w:lineRule="exact"/>
        <w:ind w:left="5" w:right="0" w:firstLine="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目</w:t>
      </w:r>
      <w:r>
        <w:rPr>
          <w:rFonts w:hint="eastAsia" w:ascii="宋体" w:hAnsi="宋体" w:eastAsia="宋体" w:cs="宋体"/>
          <w:b/>
          <w:bCs/>
          <w:color w:val="auto"/>
          <w:sz w:val="40"/>
          <w:szCs w:val="40"/>
        </w:rPr>
        <w:tab/>
      </w:r>
      <w:r>
        <w:rPr>
          <w:rFonts w:hint="eastAsia" w:ascii="宋体" w:hAnsi="宋体" w:eastAsia="宋体" w:cs="宋体"/>
          <w:b/>
          <w:bCs/>
          <w:color w:val="auto"/>
          <w:sz w:val="40"/>
          <w:szCs w:val="40"/>
        </w:rPr>
        <w:t>录</w:t>
      </w:r>
    </w:p>
    <w:p w14:paraId="786397F6">
      <w:pPr>
        <w:spacing w:before="0" w:line="240" w:lineRule="auto"/>
        <w:rPr>
          <w:rFonts w:hint="eastAsia" w:ascii="宋体" w:hAnsi="宋体" w:eastAsia="宋体" w:cs="宋体"/>
          <w:color w:val="auto"/>
          <w:sz w:val="40"/>
          <w:szCs w:val="40"/>
        </w:rPr>
      </w:pPr>
    </w:p>
    <w:p w14:paraId="2A1DF149">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rFonts w:hint="eastAsia" w:ascii="宋体" w:hAnsi="宋体" w:eastAsia="宋体"/>
          <w:color w:val="auto"/>
          <w:sz w:val="30"/>
          <w:szCs w:val="30"/>
          <w:highlight w:val="none"/>
          <w:lang w:val="en-US" w:eastAsia="zh-CN"/>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"1-2"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_Toc23443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 xml:space="preserve">第一章 </w:t>
      </w:r>
      <w:r>
        <w:rPr>
          <w:rFonts w:ascii="宋体" w:hAnsi="宋体" w:eastAsia="宋体"/>
          <w:color w:val="auto"/>
          <w:sz w:val="30"/>
          <w:szCs w:val="30"/>
          <w:highlight w:val="none"/>
        </w:rPr>
        <w:t xml:space="preserve"> </w:t>
      </w:r>
      <w:r>
        <w:rPr>
          <w:rFonts w:hint="eastAsia" w:ascii="宋体" w:hAnsi="宋体" w:eastAsia="宋体"/>
          <w:color w:val="auto"/>
          <w:sz w:val="30"/>
          <w:szCs w:val="30"/>
          <w:highlight w:val="none"/>
          <w:lang w:val="en-US" w:eastAsia="zh-CN"/>
        </w:rPr>
        <w:t>招标</w:t>
      </w:r>
      <w:r>
        <w:rPr>
          <w:rFonts w:ascii="宋体" w:hAnsi="宋体" w:eastAsia="宋体"/>
          <w:color w:val="auto"/>
          <w:sz w:val="30"/>
          <w:szCs w:val="30"/>
          <w:highlight w:val="none"/>
        </w:rPr>
        <w:fldChar w:fldCharType="end"/>
      </w:r>
      <w:r>
        <w:rPr>
          <w:rFonts w:hint="eastAsia"/>
          <w:color w:val="auto"/>
          <w:sz w:val="30"/>
          <w:szCs w:val="30"/>
          <w:highlight w:val="none"/>
          <w:lang w:val="en-US" w:eastAsia="zh-CN"/>
        </w:rPr>
        <w:t>公告</w:t>
      </w:r>
    </w:p>
    <w:p w14:paraId="47F47E3E">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_Toc31935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第二章</w:t>
      </w:r>
      <w:r>
        <w:rPr>
          <w:rFonts w:ascii="宋体" w:hAnsi="宋体" w:eastAsia="宋体"/>
          <w:color w:val="auto"/>
          <w:sz w:val="30"/>
          <w:szCs w:val="30"/>
          <w:highlight w:val="none"/>
        </w:rPr>
        <w:t xml:space="preserve"> </w:t>
      </w:r>
      <w:r>
        <w:rPr>
          <w:rFonts w:hint="eastAsia" w:ascii="宋体" w:hAnsi="宋体" w:eastAsia="宋体"/>
          <w:color w:val="auto"/>
          <w:sz w:val="30"/>
          <w:szCs w:val="30"/>
          <w:highlight w:val="none"/>
        </w:rPr>
        <w:t xml:space="preserve"> </w:t>
      </w:r>
      <w:r>
        <w:rPr>
          <w:rFonts w:ascii="宋体" w:hAnsi="宋体" w:eastAsia="宋体"/>
          <w:color w:val="auto"/>
          <w:sz w:val="30"/>
          <w:szCs w:val="30"/>
          <w:highlight w:val="none"/>
        </w:rPr>
        <w:t>投标人须知</w:t>
      </w:r>
      <w:r>
        <w:rPr>
          <w:rFonts w:ascii="宋体" w:hAnsi="宋体" w:eastAsia="宋体"/>
          <w:color w:val="auto"/>
          <w:sz w:val="30"/>
          <w:szCs w:val="30"/>
          <w:highlight w:val="none"/>
        </w:rPr>
        <w:fldChar w:fldCharType="end"/>
      </w:r>
    </w:p>
    <w:p w14:paraId="60071735">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_Toc10891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第三章  采购需求</w:t>
      </w:r>
      <w:r>
        <w:rPr>
          <w:rFonts w:ascii="宋体" w:hAnsi="宋体" w:eastAsia="宋体"/>
          <w:color w:val="auto"/>
          <w:sz w:val="30"/>
          <w:szCs w:val="30"/>
          <w:highlight w:val="none"/>
        </w:rPr>
        <w:fldChar w:fldCharType="end"/>
      </w:r>
    </w:p>
    <w:p w14:paraId="07DD0FFC">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_Toc16417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第四章  评标方法和标准（综合评分法）</w:t>
      </w:r>
      <w:r>
        <w:rPr>
          <w:rFonts w:ascii="宋体" w:hAnsi="宋体" w:eastAsia="宋体"/>
          <w:color w:val="auto"/>
          <w:sz w:val="30"/>
          <w:szCs w:val="30"/>
          <w:highlight w:val="none"/>
        </w:rPr>
        <w:fldChar w:fldCharType="end"/>
      </w:r>
    </w:p>
    <w:p w14:paraId="4F42157E">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_Toc4682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 xml:space="preserve">第五章 </w:t>
      </w:r>
      <w:r>
        <w:rPr>
          <w:rFonts w:hint="eastAsia"/>
          <w:color w:val="auto"/>
          <w:sz w:val="30"/>
          <w:szCs w:val="30"/>
          <w:highlight w:val="none"/>
          <w:lang w:val="en-US" w:eastAsia="zh-CN"/>
        </w:rPr>
        <w:t xml:space="preserve"> </w:t>
      </w:r>
      <w:r>
        <w:rPr>
          <w:rFonts w:ascii="宋体" w:hAnsi="宋体" w:eastAsia="宋体"/>
          <w:color w:val="auto"/>
          <w:sz w:val="30"/>
          <w:szCs w:val="30"/>
          <w:highlight w:val="none"/>
        </w:rPr>
        <w:t>政府采购合同</w:t>
      </w:r>
      <w:r>
        <w:rPr>
          <w:rFonts w:ascii="宋体" w:hAnsi="宋体" w:eastAsia="宋体"/>
          <w:color w:val="auto"/>
          <w:sz w:val="30"/>
          <w:szCs w:val="30"/>
          <w:highlight w:val="none"/>
        </w:rPr>
        <w:fldChar w:fldCharType="end"/>
      </w:r>
    </w:p>
    <w:p w14:paraId="58CC1ECC">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color w:val="auto"/>
          <w:sz w:val="30"/>
          <w:szCs w:val="30"/>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_Toc22492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第六章  投标文件格式</w:t>
      </w:r>
      <w:r>
        <w:rPr>
          <w:rFonts w:ascii="宋体" w:hAnsi="宋体" w:eastAsia="宋体"/>
          <w:color w:val="auto"/>
          <w:sz w:val="30"/>
          <w:szCs w:val="30"/>
          <w:highlight w:val="none"/>
        </w:rPr>
        <w:fldChar w:fldCharType="end"/>
      </w:r>
    </w:p>
    <w:p w14:paraId="6A314B25">
      <w:pPr>
        <w:pStyle w:val="13"/>
        <w:keepNext w:val="0"/>
        <w:keepLines w:val="0"/>
        <w:pageBreakBefore w:val="0"/>
        <w:widowControl w:val="0"/>
        <w:tabs>
          <w:tab w:val="right" w:leader="dot" w:pos="8306"/>
        </w:tabs>
        <w:kinsoku/>
        <w:wordWrap/>
        <w:overflowPunct/>
        <w:topLinePunct w:val="0"/>
        <w:autoSpaceDE/>
        <w:autoSpaceDN/>
        <w:bidi w:val="0"/>
        <w:adjustRightInd/>
        <w:snapToGrid w:val="0"/>
        <w:spacing w:after="0" w:afterLines="0" w:line="600" w:lineRule="exact"/>
        <w:textAlignment w:val="auto"/>
        <w:rPr>
          <w:rFonts w:ascii="宋体" w:hAnsi="宋体" w:eastAsia="宋体"/>
          <w:color w:val="auto"/>
          <w:sz w:val="30"/>
          <w:szCs w:val="30"/>
          <w:highlight w:val="none"/>
        </w:rPr>
      </w:pPr>
      <w:r>
        <w:rPr>
          <w:rFonts w:ascii="宋体" w:hAnsi="宋体" w:eastAsia="宋体"/>
          <w:color w:val="auto"/>
          <w:sz w:val="30"/>
          <w:szCs w:val="30"/>
          <w:highlight w:val="none"/>
        </w:rPr>
        <w:fldChar w:fldCharType="begin"/>
      </w:r>
      <w:r>
        <w:rPr>
          <w:rFonts w:ascii="宋体" w:hAnsi="宋体" w:eastAsia="宋体"/>
          <w:color w:val="auto"/>
          <w:sz w:val="30"/>
          <w:szCs w:val="30"/>
          <w:highlight w:val="none"/>
        </w:rPr>
        <w:instrText xml:space="preserve"> HYPERLINK \l _Toc18131 </w:instrText>
      </w:r>
      <w:r>
        <w:rPr>
          <w:rFonts w:ascii="宋体" w:hAnsi="宋体" w:eastAsia="宋体"/>
          <w:color w:val="auto"/>
          <w:sz w:val="30"/>
          <w:szCs w:val="30"/>
          <w:highlight w:val="none"/>
        </w:rPr>
        <w:fldChar w:fldCharType="separate"/>
      </w:r>
      <w:r>
        <w:rPr>
          <w:rFonts w:hint="eastAsia" w:ascii="宋体" w:hAnsi="宋体" w:eastAsia="宋体"/>
          <w:color w:val="auto"/>
          <w:sz w:val="30"/>
          <w:szCs w:val="30"/>
          <w:highlight w:val="none"/>
        </w:rPr>
        <w:t>第</w:t>
      </w:r>
      <w:r>
        <w:rPr>
          <w:rFonts w:hint="eastAsia" w:ascii="宋体" w:hAnsi="宋体"/>
          <w:color w:val="auto"/>
          <w:sz w:val="30"/>
          <w:szCs w:val="30"/>
          <w:highlight w:val="none"/>
          <w:lang w:eastAsia="zh-CN"/>
        </w:rPr>
        <w:t>七</w:t>
      </w:r>
      <w:r>
        <w:rPr>
          <w:rFonts w:hint="eastAsia" w:ascii="宋体" w:hAnsi="宋体" w:eastAsia="宋体"/>
          <w:color w:val="auto"/>
          <w:sz w:val="30"/>
          <w:szCs w:val="30"/>
          <w:highlight w:val="none"/>
        </w:rPr>
        <w:t>章</w:t>
      </w:r>
      <w:r>
        <w:rPr>
          <w:rFonts w:hint="eastAsia" w:ascii="宋体" w:hAnsi="宋体" w:eastAsia="宋体"/>
          <w:bCs/>
          <w:color w:val="auto"/>
          <w:sz w:val="30"/>
          <w:szCs w:val="30"/>
          <w:highlight w:val="none"/>
        </w:rPr>
        <w:t xml:space="preserve">  政府采购</w:t>
      </w:r>
      <w:r>
        <w:rPr>
          <w:rFonts w:hint="eastAsia" w:ascii="宋体" w:hAnsi="宋体" w:eastAsia="宋体"/>
          <w:color w:val="auto"/>
          <w:sz w:val="30"/>
          <w:szCs w:val="30"/>
          <w:highlight w:val="none"/>
        </w:rPr>
        <w:t>供应</w:t>
      </w:r>
      <w:r>
        <w:rPr>
          <w:rFonts w:hint="eastAsia" w:ascii="宋体" w:hAnsi="宋体" w:eastAsia="宋体"/>
          <w:bCs/>
          <w:color w:val="auto"/>
          <w:sz w:val="30"/>
          <w:szCs w:val="30"/>
          <w:highlight w:val="none"/>
        </w:rPr>
        <w:t>商询问函和质疑函范本</w:t>
      </w:r>
      <w:r>
        <w:rPr>
          <w:rFonts w:ascii="宋体" w:hAnsi="宋体" w:eastAsia="宋体"/>
          <w:color w:val="auto"/>
          <w:sz w:val="30"/>
          <w:szCs w:val="30"/>
          <w:highlight w:val="none"/>
        </w:rPr>
        <w:fldChar w:fldCharType="end"/>
      </w:r>
    </w:p>
    <w:p w14:paraId="1F9961DB">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r>
        <w:rPr>
          <w:rFonts w:ascii="宋体" w:hAnsi="宋体" w:eastAsia="宋体"/>
          <w:color w:val="auto"/>
          <w:sz w:val="30"/>
          <w:szCs w:val="30"/>
          <w:highlight w:val="none"/>
        </w:rPr>
        <w:fldChar w:fldCharType="end"/>
      </w:r>
      <w:bookmarkStart w:id="1" w:name="_TOC_250006"/>
    </w:p>
    <w:p w14:paraId="7AC8781F">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06DD0923">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1CB85D97">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1AE33D87">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ascii="宋体" w:hAnsi="宋体" w:eastAsia="宋体"/>
          <w:color w:val="auto"/>
          <w:szCs w:val="24"/>
          <w:highlight w:val="none"/>
        </w:rPr>
      </w:pPr>
    </w:p>
    <w:p w14:paraId="5458B900">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hint="eastAsia" w:ascii="华文中宋" w:hAnsi="华文中宋" w:eastAsia="华文中宋" w:cs="Times New Roman"/>
          <w:b/>
          <w:bCs/>
          <w:color w:val="auto"/>
          <w:kern w:val="44"/>
          <w:sz w:val="36"/>
          <w:szCs w:val="36"/>
          <w:lang w:eastAsia="zh-CN"/>
        </w:rPr>
      </w:pPr>
    </w:p>
    <w:p w14:paraId="2E817AAD">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both"/>
        <w:textAlignment w:val="auto"/>
        <w:outlineLvl w:val="0"/>
        <w:rPr>
          <w:rFonts w:hint="eastAsia" w:ascii="华文中宋" w:hAnsi="华文中宋" w:eastAsia="华文中宋" w:cs="Times New Roman"/>
          <w:b/>
          <w:bCs/>
          <w:color w:val="auto"/>
          <w:kern w:val="44"/>
          <w:sz w:val="36"/>
          <w:szCs w:val="36"/>
          <w:lang w:eastAsia="zh-CN"/>
        </w:rPr>
      </w:pPr>
    </w:p>
    <w:p w14:paraId="490C30BC">
      <w:pPr>
        <w:rPr>
          <w:rFonts w:hint="eastAsia" w:ascii="华文中宋" w:hAnsi="华文中宋" w:eastAsia="华文中宋" w:cs="Times New Roman"/>
          <w:b/>
          <w:bCs/>
          <w:color w:val="auto"/>
          <w:kern w:val="44"/>
          <w:sz w:val="36"/>
          <w:szCs w:val="36"/>
          <w:lang w:eastAsia="zh-CN"/>
        </w:rPr>
      </w:pPr>
    </w:p>
    <w:p w14:paraId="2BD01A84">
      <w:pPr>
        <w:pStyle w:val="2"/>
        <w:jc w:val="center"/>
        <w:rPr>
          <w:rFonts w:hint="eastAsia"/>
          <w:color w:val="auto"/>
          <w:lang w:eastAsia="zh-CN"/>
        </w:rPr>
      </w:pPr>
    </w:p>
    <w:p w14:paraId="511FBBCC">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hint="eastAsia" w:ascii="华文中宋" w:hAnsi="华文中宋" w:eastAsia="华文中宋" w:cs="Times New Roman"/>
          <w:b/>
          <w:bCs/>
          <w:color w:val="auto"/>
          <w:kern w:val="44"/>
          <w:sz w:val="36"/>
          <w:szCs w:val="36"/>
          <w:lang w:eastAsia="zh-CN"/>
        </w:rPr>
      </w:pPr>
    </w:p>
    <w:p w14:paraId="771C21A8">
      <w:pPr>
        <w:pStyle w:val="3"/>
        <w:keepNext/>
        <w:keepLines/>
        <w:pageBreakBefore w:val="0"/>
        <w:tabs>
          <w:tab w:val="left" w:pos="0"/>
          <w:tab w:val="left" w:pos="3165"/>
          <w:tab w:val="center" w:pos="4153"/>
        </w:tabs>
        <w:kinsoku/>
        <w:wordWrap/>
        <w:overflowPunct/>
        <w:topLinePunct w:val="0"/>
        <w:autoSpaceDE w:val="0"/>
        <w:autoSpaceDN w:val="0"/>
        <w:bidi w:val="0"/>
        <w:adjustRightInd w:val="0"/>
        <w:snapToGrid w:val="0"/>
        <w:spacing w:after="0" w:line="360" w:lineRule="auto"/>
        <w:jc w:val="center"/>
        <w:textAlignment w:val="auto"/>
        <w:outlineLvl w:val="0"/>
        <w:rPr>
          <w:rFonts w:hint="default" w:ascii="华文中宋" w:hAnsi="华文中宋" w:eastAsia="华文中宋" w:cs="Times New Roman"/>
          <w:b/>
          <w:bCs/>
          <w:color w:val="auto"/>
          <w:kern w:val="44"/>
          <w:sz w:val="36"/>
          <w:szCs w:val="36"/>
          <w:lang w:val="en-US" w:eastAsia="zh-CN"/>
        </w:rPr>
      </w:pPr>
      <w:r>
        <w:rPr>
          <w:rFonts w:hint="eastAsia" w:ascii="华文中宋" w:hAnsi="华文中宋" w:eastAsia="华文中宋" w:cs="Times New Roman"/>
          <w:b/>
          <w:bCs/>
          <w:color w:val="auto"/>
          <w:kern w:val="44"/>
          <w:sz w:val="36"/>
          <w:szCs w:val="36"/>
          <w:lang w:eastAsia="zh-CN"/>
        </w:rPr>
        <w:t>第一章</w:t>
      </w:r>
      <w:bookmarkEnd w:id="1"/>
      <w:r>
        <w:rPr>
          <w:rFonts w:hint="eastAsia" w:ascii="华文中宋" w:hAnsi="华文中宋" w:eastAsia="华文中宋" w:cs="Times New Roman"/>
          <w:b/>
          <w:bCs/>
          <w:color w:val="auto"/>
          <w:kern w:val="44"/>
          <w:sz w:val="36"/>
          <w:szCs w:val="36"/>
          <w:lang w:val="en-US" w:eastAsia="zh-CN"/>
        </w:rPr>
        <w:t xml:space="preserve">  招标公告</w:t>
      </w:r>
    </w:p>
    <w:p w14:paraId="7EDFB3F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一、项目基本情况</w:t>
      </w:r>
    </w:p>
    <w:p w14:paraId="1F1896E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项目编号：</w:t>
      </w:r>
      <w:r>
        <w:rPr>
          <w:rFonts w:hint="eastAsia" w:ascii="仿宋" w:hAnsi="仿宋" w:eastAsia="仿宋" w:cs="仿宋"/>
          <w:i w:val="0"/>
          <w:iCs w:val="0"/>
          <w:caps w:val="0"/>
          <w:color w:val="000000"/>
          <w:spacing w:val="0"/>
          <w:sz w:val="28"/>
          <w:szCs w:val="28"/>
          <w:shd w:val="clear" w:fill="FFFFFF"/>
          <w:lang w:val="en-US" w:eastAsia="zh-CN"/>
        </w:rPr>
        <w:t>ZX</w:t>
      </w:r>
      <w:r>
        <w:rPr>
          <w:rFonts w:hint="eastAsia" w:ascii="仿宋" w:hAnsi="仿宋" w:eastAsia="仿宋" w:cs="仿宋"/>
          <w:i w:val="0"/>
          <w:iCs w:val="0"/>
          <w:caps w:val="0"/>
          <w:color w:val="000000"/>
          <w:spacing w:val="0"/>
          <w:sz w:val="28"/>
          <w:szCs w:val="28"/>
          <w:shd w:val="clear" w:fill="FFFFFF"/>
        </w:rPr>
        <w:t>CG2026</w:t>
      </w:r>
      <w:r>
        <w:rPr>
          <w:rFonts w:hint="eastAsia" w:ascii="仿宋" w:hAnsi="仿宋" w:eastAsia="仿宋" w:cs="仿宋"/>
          <w:i w:val="0"/>
          <w:iCs w:val="0"/>
          <w:caps w:val="0"/>
          <w:color w:val="000000"/>
          <w:spacing w:val="0"/>
          <w:sz w:val="28"/>
          <w:szCs w:val="28"/>
          <w:shd w:val="clear" w:fill="FFFFFF"/>
          <w:lang w:val="en-US" w:eastAsia="zh-CN"/>
        </w:rPr>
        <w:t>F001</w:t>
      </w:r>
    </w:p>
    <w:p w14:paraId="755A7A7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rPr>
      </w:pPr>
      <w:r>
        <w:rPr>
          <w:rFonts w:hint="eastAsia" w:ascii="仿宋" w:hAnsi="仿宋" w:eastAsia="仿宋" w:cs="仿宋"/>
          <w:i w:val="0"/>
          <w:iCs w:val="0"/>
          <w:caps w:val="0"/>
          <w:color w:val="000000"/>
          <w:spacing w:val="0"/>
          <w:sz w:val="28"/>
          <w:szCs w:val="28"/>
          <w:shd w:val="clear" w:fill="FFFFFF"/>
        </w:rPr>
        <w:t>项目名称：</w:t>
      </w:r>
      <w:r>
        <w:rPr>
          <w:rFonts w:hint="eastAsia" w:ascii="仿宋" w:hAnsi="仿宋" w:eastAsia="仿宋" w:cs="仿宋"/>
          <w:i w:val="0"/>
          <w:iCs w:val="0"/>
          <w:caps w:val="0"/>
          <w:color w:val="000000"/>
          <w:spacing w:val="0"/>
          <w:sz w:val="28"/>
          <w:szCs w:val="28"/>
          <w:shd w:val="clear" w:fill="FFFFFF"/>
          <w:lang w:val="en-US" w:eastAsia="zh-CN"/>
        </w:rPr>
        <w:t>铜陵市公共资源交易市场（投资大厦）物业服务</w:t>
      </w:r>
    </w:p>
    <w:p w14:paraId="6BF84FE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预算金额：</w:t>
      </w:r>
      <w:r>
        <w:rPr>
          <w:rFonts w:hint="eastAsia" w:ascii="仿宋" w:hAnsi="仿宋" w:eastAsia="仿宋" w:cs="仿宋"/>
          <w:i w:val="0"/>
          <w:iCs w:val="0"/>
          <w:caps w:val="0"/>
          <w:color w:val="000000"/>
          <w:spacing w:val="0"/>
          <w:sz w:val="28"/>
          <w:szCs w:val="28"/>
          <w:shd w:val="clear" w:fill="FFFFFF"/>
          <w:lang w:val="en-US" w:eastAsia="zh-CN"/>
        </w:rPr>
        <w:t>35</w:t>
      </w:r>
      <w:r>
        <w:rPr>
          <w:rFonts w:hint="eastAsia" w:ascii="仿宋" w:hAnsi="仿宋" w:eastAsia="仿宋" w:cs="仿宋"/>
          <w:i w:val="0"/>
          <w:iCs w:val="0"/>
          <w:caps w:val="0"/>
          <w:color w:val="000000"/>
          <w:spacing w:val="0"/>
          <w:sz w:val="28"/>
          <w:szCs w:val="28"/>
          <w:shd w:val="clear" w:fill="FFFFFF"/>
        </w:rPr>
        <w:t>万元</w:t>
      </w:r>
    </w:p>
    <w:p w14:paraId="23C5B93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最高限价：</w:t>
      </w:r>
      <w:r>
        <w:rPr>
          <w:rFonts w:hint="eastAsia" w:ascii="仿宋" w:hAnsi="仿宋" w:eastAsia="仿宋" w:cs="仿宋"/>
          <w:i w:val="0"/>
          <w:iCs w:val="0"/>
          <w:caps w:val="0"/>
          <w:color w:val="000000"/>
          <w:spacing w:val="0"/>
          <w:sz w:val="28"/>
          <w:szCs w:val="28"/>
          <w:shd w:val="clear" w:fill="FFFFFF"/>
          <w:lang w:val="en-US" w:eastAsia="zh-CN"/>
        </w:rPr>
        <w:t>35</w:t>
      </w:r>
      <w:r>
        <w:rPr>
          <w:rFonts w:hint="eastAsia" w:ascii="仿宋" w:hAnsi="仿宋" w:eastAsia="仿宋" w:cs="仿宋"/>
          <w:i w:val="0"/>
          <w:iCs w:val="0"/>
          <w:caps w:val="0"/>
          <w:color w:val="000000"/>
          <w:spacing w:val="0"/>
          <w:sz w:val="28"/>
          <w:szCs w:val="28"/>
          <w:shd w:val="clear" w:fill="FFFFFF"/>
        </w:rPr>
        <w:t>万元</w:t>
      </w:r>
    </w:p>
    <w:p w14:paraId="3863969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采购需求：</w:t>
      </w:r>
      <w:r>
        <w:rPr>
          <w:rFonts w:hint="eastAsia" w:ascii="仿宋" w:hAnsi="仿宋" w:eastAsia="仿宋" w:cs="仿宋"/>
          <w:i w:val="0"/>
          <w:iCs w:val="0"/>
          <w:caps w:val="0"/>
          <w:color w:val="000000"/>
          <w:spacing w:val="0"/>
          <w:sz w:val="28"/>
          <w:szCs w:val="28"/>
          <w:shd w:val="clear" w:fill="FFFFFF"/>
          <w:lang w:val="en-US" w:eastAsia="zh-CN"/>
        </w:rPr>
        <w:t>本项目主要为保安</w:t>
      </w:r>
      <w:r>
        <w:rPr>
          <w:rFonts w:ascii="仿宋" w:hAnsi="仿宋" w:eastAsia="仿宋" w:cs="仿宋"/>
          <w:i w:val="0"/>
          <w:iCs w:val="0"/>
          <w:caps w:val="0"/>
          <w:color w:val="000000"/>
          <w:spacing w:val="0"/>
          <w:sz w:val="28"/>
          <w:szCs w:val="28"/>
          <w:shd w:val="clear" w:fill="FFFFFF"/>
        </w:rPr>
        <w:t>保洁</w:t>
      </w:r>
      <w:r>
        <w:rPr>
          <w:rFonts w:hint="eastAsia" w:ascii="仿宋" w:hAnsi="仿宋" w:eastAsia="仿宋" w:cs="仿宋"/>
          <w:i w:val="0"/>
          <w:iCs w:val="0"/>
          <w:caps w:val="0"/>
          <w:color w:val="000000"/>
          <w:spacing w:val="0"/>
          <w:sz w:val="28"/>
          <w:szCs w:val="28"/>
          <w:shd w:val="clear" w:fill="FFFFFF"/>
          <w:lang w:val="en-US" w:eastAsia="zh-CN"/>
        </w:rPr>
        <w:t>及</w:t>
      </w:r>
      <w:r>
        <w:rPr>
          <w:rFonts w:ascii="仿宋" w:hAnsi="仿宋" w:eastAsia="仿宋" w:cs="仿宋"/>
          <w:i w:val="0"/>
          <w:iCs w:val="0"/>
          <w:caps w:val="0"/>
          <w:color w:val="000000"/>
          <w:spacing w:val="0"/>
          <w:sz w:val="28"/>
          <w:szCs w:val="28"/>
          <w:shd w:val="clear" w:fill="FFFFFF"/>
        </w:rPr>
        <w:t>公共环境设施、设备管理等服务内容，详细内容见该项目</w:t>
      </w:r>
      <w:r>
        <w:rPr>
          <w:rFonts w:hint="eastAsia" w:ascii="仿宋" w:hAnsi="仿宋" w:eastAsia="仿宋" w:cs="仿宋"/>
          <w:i w:val="0"/>
          <w:iCs w:val="0"/>
          <w:caps w:val="0"/>
          <w:color w:val="000000"/>
          <w:spacing w:val="0"/>
          <w:sz w:val="28"/>
          <w:szCs w:val="28"/>
          <w:shd w:val="clear" w:fill="FFFFFF"/>
          <w:lang w:val="en-US" w:eastAsia="zh-CN"/>
        </w:rPr>
        <w:t>采购</w:t>
      </w:r>
      <w:r>
        <w:rPr>
          <w:rFonts w:ascii="仿宋" w:hAnsi="仿宋" w:eastAsia="仿宋" w:cs="仿宋"/>
          <w:i w:val="0"/>
          <w:iCs w:val="0"/>
          <w:caps w:val="0"/>
          <w:color w:val="000000"/>
          <w:spacing w:val="0"/>
          <w:sz w:val="28"/>
          <w:szCs w:val="28"/>
          <w:shd w:val="clear" w:fill="FFFFFF"/>
        </w:rPr>
        <w:t>文件。</w:t>
      </w:r>
    </w:p>
    <w:p w14:paraId="624BEC7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合同履行期限：</w:t>
      </w:r>
      <w:r>
        <w:rPr>
          <w:rFonts w:ascii="仿宋" w:hAnsi="仿宋" w:eastAsia="仿宋" w:cs="仿宋"/>
          <w:i w:val="0"/>
          <w:iCs w:val="0"/>
          <w:caps w:val="0"/>
          <w:color w:val="000000"/>
          <w:spacing w:val="0"/>
          <w:sz w:val="28"/>
          <w:szCs w:val="28"/>
          <w:u w:val="none"/>
          <w:shd w:val="clear" w:fill="FFFFFF"/>
        </w:rPr>
        <w:t>自合同签订之日起一年，在年度预算能保障的前提下，经采购人年度</w:t>
      </w:r>
      <w:r>
        <w:rPr>
          <w:rFonts w:hint="eastAsia" w:ascii="仿宋" w:hAnsi="仿宋" w:eastAsia="仿宋" w:cs="仿宋"/>
          <w:i w:val="0"/>
          <w:iCs w:val="0"/>
          <w:caps w:val="0"/>
          <w:color w:val="000000"/>
          <w:spacing w:val="0"/>
          <w:sz w:val="28"/>
          <w:szCs w:val="28"/>
          <w:u w:val="none"/>
          <w:shd w:val="clear" w:fill="FFFFFF"/>
        </w:rPr>
        <w:t>考核合格的，可以续签下一年合同，合同一年一签，总服务期最多不超过三年。</w:t>
      </w:r>
    </w:p>
    <w:p w14:paraId="4F3A9EF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本项目不接受联合体投标。</w:t>
      </w:r>
    </w:p>
    <w:p w14:paraId="7EAED2A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二、申请人的资格要求</w:t>
      </w:r>
    </w:p>
    <w:p w14:paraId="08407A1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u w:val="none"/>
          <w:shd w:val="clear" w:fill="FFFFFF"/>
        </w:rPr>
        <w:t>1.满足《中华人民共和国政府采购法》第二十二条规定；</w:t>
      </w:r>
    </w:p>
    <w:p w14:paraId="39EA30E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lang w:eastAsia="zh-CN"/>
        </w:rPr>
      </w:pPr>
      <w:r>
        <w:rPr>
          <w:rFonts w:hint="eastAsia" w:ascii="仿宋" w:hAnsi="仿宋" w:eastAsia="仿宋" w:cs="仿宋"/>
          <w:i w:val="0"/>
          <w:iCs w:val="0"/>
          <w:caps w:val="0"/>
          <w:color w:val="000000"/>
          <w:spacing w:val="0"/>
          <w:sz w:val="28"/>
          <w:szCs w:val="28"/>
          <w:u w:val="none"/>
          <w:shd w:val="clear" w:fill="FFFFFF"/>
        </w:rPr>
        <w:t>2</w:t>
      </w:r>
      <w:r>
        <w:rPr>
          <w:rFonts w:hint="eastAsia" w:ascii="仿宋" w:hAnsi="仿宋" w:eastAsia="仿宋" w:cs="仿宋"/>
          <w:i w:val="0"/>
          <w:iCs w:val="0"/>
          <w:caps w:val="0"/>
          <w:color w:val="FF0000"/>
          <w:spacing w:val="0"/>
          <w:sz w:val="28"/>
          <w:szCs w:val="28"/>
          <w:shd w:val="clear" w:fill="FFFFFF"/>
        </w:rPr>
        <w:t>.</w:t>
      </w:r>
      <w:r>
        <w:rPr>
          <w:rFonts w:hint="eastAsia" w:ascii="仿宋" w:hAnsi="仿宋" w:eastAsia="仿宋" w:cs="仿宋"/>
          <w:i w:val="0"/>
          <w:iCs w:val="0"/>
          <w:caps w:val="0"/>
          <w:color w:val="000000"/>
          <w:spacing w:val="0"/>
          <w:sz w:val="28"/>
          <w:szCs w:val="28"/>
          <w:u w:val="none"/>
          <w:shd w:val="clear" w:fill="FFFFFF"/>
        </w:rPr>
        <w:t>落实政府采购政策需满足的资格要求：按照财政部、工业和信息化部制定的《政府采购促进中小企业发展管理办法》，本项目为专门面向中小企业采购项目（专门面向中小企业采购的项目，服务供应商应为中小微企业、监狱企业、残疾人福利性单位)。企业划型标准按照《关于印发中小企业划型标准规定的通知》（工信部联企业 〔2011〕300号规定执行）</w:t>
      </w:r>
      <w:r>
        <w:rPr>
          <w:rFonts w:hint="eastAsia" w:ascii="仿宋" w:hAnsi="仿宋" w:eastAsia="仿宋" w:cs="仿宋"/>
          <w:i w:val="0"/>
          <w:iCs w:val="0"/>
          <w:caps w:val="0"/>
          <w:color w:val="000000"/>
          <w:spacing w:val="0"/>
          <w:sz w:val="28"/>
          <w:szCs w:val="28"/>
          <w:u w:val="none"/>
          <w:shd w:val="clear" w:fill="FFFFFF"/>
          <w:lang w:eastAsia="zh-CN"/>
        </w:rPr>
        <w:t>。</w:t>
      </w:r>
    </w:p>
    <w:p w14:paraId="1B0B23A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3.本项目的特定资格要求：无</w:t>
      </w:r>
    </w:p>
    <w:p w14:paraId="3394ADC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三、获取采购文件</w:t>
      </w:r>
    </w:p>
    <w:p w14:paraId="3C8ABA4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u w:val="none"/>
          <w:shd w:val="clear" w:fill="FFFFFF"/>
        </w:rPr>
        <w:t>时间：2026年</w:t>
      </w:r>
      <w:r>
        <w:rPr>
          <w:rFonts w:hint="eastAsia" w:ascii="仿宋" w:hAnsi="仿宋" w:eastAsia="仿宋" w:cs="仿宋"/>
          <w:i w:val="0"/>
          <w:iCs w:val="0"/>
          <w:caps w:val="0"/>
          <w:color w:val="000000"/>
          <w:spacing w:val="0"/>
          <w:sz w:val="28"/>
          <w:szCs w:val="28"/>
          <w:u w:val="none"/>
          <w:shd w:val="clear" w:fill="FFFFFF"/>
          <w:lang w:val="en-US" w:eastAsia="zh-CN"/>
        </w:rPr>
        <w:t>5</w:t>
      </w:r>
      <w:r>
        <w:rPr>
          <w:rFonts w:hint="eastAsia" w:ascii="仿宋" w:hAnsi="仿宋" w:eastAsia="仿宋" w:cs="仿宋"/>
          <w:i w:val="0"/>
          <w:iCs w:val="0"/>
          <w:caps w:val="0"/>
          <w:color w:val="000000"/>
          <w:spacing w:val="0"/>
          <w:sz w:val="28"/>
          <w:szCs w:val="28"/>
          <w:u w:val="none"/>
          <w:shd w:val="clear" w:fill="FFFFFF"/>
        </w:rPr>
        <w:t>月</w:t>
      </w:r>
      <w:r>
        <w:rPr>
          <w:rFonts w:hint="eastAsia" w:ascii="仿宋" w:hAnsi="仿宋" w:eastAsia="仿宋" w:cs="仿宋"/>
          <w:i w:val="0"/>
          <w:iCs w:val="0"/>
          <w:caps w:val="0"/>
          <w:color w:val="000000"/>
          <w:spacing w:val="0"/>
          <w:sz w:val="28"/>
          <w:szCs w:val="28"/>
          <w:u w:val="none"/>
          <w:shd w:val="clear" w:fill="FFFFFF"/>
          <w:lang w:val="en-US" w:eastAsia="zh-CN"/>
        </w:rPr>
        <w:t>6</w:t>
      </w:r>
      <w:r>
        <w:rPr>
          <w:rFonts w:hint="eastAsia" w:ascii="仿宋" w:hAnsi="仿宋" w:eastAsia="仿宋" w:cs="仿宋"/>
          <w:i w:val="0"/>
          <w:iCs w:val="0"/>
          <w:caps w:val="0"/>
          <w:color w:val="000000"/>
          <w:spacing w:val="0"/>
          <w:sz w:val="28"/>
          <w:szCs w:val="28"/>
          <w:u w:val="none"/>
          <w:shd w:val="clear" w:fill="FFFFFF"/>
        </w:rPr>
        <w:t>日至2026年</w:t>
      </w:r>
      <w:r>
        <w:rPr>
          <w:rFonts w:hint="eastAsia" w:ascii="仿宋" w:hAnsi="仿宋" w:eastAsia="仿宋" w:cs="仿宋"/>
          <w:i w:val="0"/>
          <w:iCs w:val="0"/>
          <w:caps w:val="0"/>
          <w:color w:val="000000"/>
          <w:spacing w:val="0"/>
          <w:sz w:val="28"/>
          <w:szCs w:val="28"/>
          <w:u w:val="none"/>
          <w:shd w:val="clear" w:fill="FFFFFF"/>
          <w:lang w:val="en-US" w:eastAsia="zh-CN"/>
        </w:rPr>
        <w:t>5</w:t>
      </w:r>
      <w:r>
        <w:rPr>
          <w:rFonts w:hint="eastAsia" w:ascii="仿宋" w:hAnsi="仿宋" w:eastAsia="仿宋" w:cs="仿宋"/>
          <w:i w:val="0"/>
          <w:iCs w:val="0"/>
          <w:caps w:val="0"/>
          <w:color w:val="000000"/>
          <w:spacing w:val="0"/>
          <w:sz w:val="28"/>
          <w:szCs w:val="28"/>
          <w:u w:val="none"/>
          <w:shd w:val="clear" w:fill="FFFFFF"/>
        </w:rPr>
        <w:t>月</w:t>
      </w:r>
      <w:r>
        <w:rPr>
          <w:rFonts w:hint="eastAsia" w:ascii="仿宋" w:hAnsi="仿宋" w:eastAsia="仿宋" w:cs="仿宋"/>
          <w:i w:val="0"/>
          <w:iCs w:val="0"/>
          <w:caps w:val="0"/>
          <w:color w:val="000000"/>
          <w:spacing w:val="0"/>
          <w:sz w:val="28"/>
          <w:szCs w:val="28"/>
          <w:u w:val="none"/>
          <w:shd w:val="clear" w:fill="FFFFFF"/>
          <w:lang w:val="en-US" w:eastAsia="zh-CN"/>
        </w:rPr>
        <w:t>26</w:t>
      </w:r>
      <w:bookmarkStart w:id="223" w:name="_GoBack"/>
      <w:bookmarkEnd w:id="223"/>
      <w:r>
        <w:rPr>
          <w:rFonts w:hint="eastAsia" w:ascii="仿宋" w:hAnsi="仿宋" w:eastAsia="仿宋" w:cs="仿宋"/>
          <w:i w:val="0"/>
          <w:iCs w:val="0"/>
          <w:caps w:val="0"/>
          <w:color w:val="000000"/>
          <w:spacing w:val="0"/>
          <w:sz w:val="28"/>
          <w:szCs w:val="28"/>
          <w:u w:val="none"/>
          <w:shd w:val="clear" w:fill="FFFFFF"/>
        </w:rPr>
        <w:t>日</w:t>
      </w:r>
    </w:p>
    <w:p w14:paraId="1F2EC15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地点：铜陵市公共资源交易中心网站（网址：http：//ggzyjyzx.tl.gov.cn）</w:t>
      </w:r>
    </w:p>
    <w:p w14:paraId="6F2E664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方式：本项目采购文件（答疑澄清等相关文件资料）从铜陵市公共资源交易</w:t>
      </w:r>
      <w:r>
        <w:rPr>
          <w:rFonts w:hint="eastAsia" w:ascii="仿宋" w:hAnsi="仿宋" w:eastAsia="仿宋" w:cs="仿宋"/>
          <w:i w:val="0"/>
          <w:iCs w:val="0"/>
          <w:caps w:val="0"/>
          <w:color w:val="000000"/>
          <w:spacing w:val="0"/>
          <w:sz w:val="28"/>
          <w:szCs w:val="28"/>
          <w:shd w:val="clear" w:fill="FFFFFF"/>
          <w:lang w:val="en-US" w:eastAsia="zh-CN"/>
        </w:rPr>
        <w:t>网站</w:t>
      </w:r>
      <w:r>
        <w:rPr>
          <w:rFonts w:hint="eastAsia" w:ascii="仿宋" w:hAnsi="仿宋" w:eastAsia="仿宋" w:cs="仿宋"/>
          <w:i w:val="0"/>
          <w:iCs w:val="0"/>
          <w:caps w:val="0"/>
          <w:color w:val="000000"/>
          <w:spacing w:val="0"/>
          <w:sz w:val="28"/>
          <w:szCs w:val="28"/>
          <w:shd w:val="clear" w:fill="FFFFFF"/>
        </w:rPr>
        <w:t>下载。</w:t>
      </w:r>
    </w:p>
    <w:p w14:paraId="315E8D5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售价：0元</w:t>
      </w:r>
    </w:p>
    <w:p w14:paraId="116F48A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四、提交投标文件截止时间、开标时间和地点</w:t>
      </w:r>
    </w:p>
    <w:p w14:paraId="1F5C1E5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时间：2026年</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27</w:t>
      </w:r>
      <w:r>
        <w:rPr>
          <w:rFonts w:hint="eastAsia" w:ascii="仿宋" w:hAnsi="仿宋" w:eastAsia="仿宋" w:cs="仿宋"/>
          <w:i w:val="0"/>
          <w:iCs w:val="0"/>
          <w:caps w:val="0"/>
          <w:color w:val="000000"/>
          <w:spacing w:val="0"/>
          <w:sz w:val="28"/>
          <w:szCs w:val="28"/>
          <w:shd w:val="clear" w:fill="FFFFFF"/>
        </w:rPr>
        <w:t>日</w:t>
      </w:r>
      <w:r>
        <w:rPr>
          <w:rFonts w:hint="eastAsia" w:ascii="仿宋" w:hAnsi="仿宋" w:eastAsia="仿宋" w:cs="仿宋"/>
          <w:i w:val="0"/>
          <w:iCs w:val="0"/>
          <w:caps w:val="0"/>
          <w:color w:val="000000"/>
          <w:spacing w:val="0"/>
          <w:sz w:val="28"/>
          <w:szCs w:val="28"/>
          <w:shd w:val="clear" w:fill="FFFFFF"/>
          <w:lang w:val="en-US" w:eastAsia="zh-CN"/>
        </w:rPr>
        <w:t>9</w:t>
      </w:r>
      <w:r>
        <w:rPr>
          <w:rFonts w:hint="eastAsia" w:ascii="仿宋" w:hAnsi="仿宋" w:eastAsia="仿宋" w:cs="仿宋"/>
          <w:i w:val="0"/>
          <w:iCs w:val="0"/>
          <w:caps w:val="0"/>
          <w:color w:val="000000"/>
          <w:spacing w:val="0"/>
          <w:sz w:val="28"/>
          <w:szCs w:val="28"/>
          <w:shd w:val="clear" w:fill="FFFFFF"/>
        </w:rPr>
        <w:t>时</w:t>
      </w:r>
      <w:r>
        <w:rPr>
          <w:rFonts w:hint="eastAsia" w:ascii="仿宋" w:hAnsi="仿宋" w:eastAsia="仿宋" w:cs="仿宋"/>
          <w:i w:val="0"/>
          <w:iCs w:val="0"/>
          <w:caps w:val="0"/>
          <w:color w:val="000000"/>
          <w:spacing w:val="0"/>
          <w:sz w:val="28"/>
          <w:szCs w:val="28"/>
          <w:shd w:val="clear" w:fill="FFFFFF"/>
          <w:lang w:val="en-US" w:eastAsia="zh-CN"/>
        </w:rPr>
        <w:t>15</w:t>
      </w:r>
      <w:r>
        <w:rPr>
          <w:rFonts w:hint="eastAsia" w:ascii="仿宋" w:hAnsi="仿宋" w:eastAsia="仿宋" w:cs="仿宋"/>
          <w:i w:val="0"/>
          <w:iCs w:val="0"/>
          <w:caps w:val="0"/>
          <w:color w:val="000000"/>
          <w:spacing w:val="0"/>
          <w:sz w:val="28"/>
          <w:szCs w:val="28"/>
          <w:shd w:val="clear" w:fill="FFFFFF"/>
        </w:rPr>
        <w:t>分（北京时间）</w:t>
      </w:r>
    </w:p>
    <w:p w14:paraId="6438A87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地点：铜陵市公共资源交易中心开标</w:t>
      </w:r>
      <w:r>
        <w:rPr>
          <w:rFonts w:hint="eastAsia" w:ascii="仿宋" w:hAnsi="仿宋" w:eastAsia="仿宋" w:cs="仿宋"/>
          <w:i w:val="0"/>
          <w:iCs w:val="0"/>
          <w:caps w:val="0"/>
          <w:color w:val="000000"/>
          <w:spacing w:val="0"/>
          <w:sz w:val="28"/>
          <w:szCs w:val="28"/>
          <w:shd w:val="clear" w:fill="FFFFFF"/>
          <w:lang w:val="en-US" w:eastAsia="zh-CN"/>
        </w:rPr>
        <w:t>二</w:t>
      </w:r>
      <w:r>
        <w:rPr>
          <w:rFonts w:hint="eastAsia" w:ascii="仿宋" w:hAnsi="仿宋" w:eastAsia="仿宋" w:cs="仿宋"/>
          <w:i w:val="0"/>
          <w:iCs w:val="0"/>
          <w:caps w:val="0"/>
          <w:color w:val="000000"/>
          <w:spacing w:val="0"/>
          <w:sz w:val="28"/>
          <w:szCs w:val="28"/>
          <w:shd w:val="clear" w:fill="FFFFFF"/>
        </w:rPr>
        <w:t>室</w:t>
      </w:r>
    </w:p>
    <w:p w14:paraId="3C43D5D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u w:val="none"/>
          <w:shd w:val="clear" w:fill="FFFFFF"/>
        </w:rPr>
        <w:t>五、公告期限</w:t>
      </w:r>
    </w:p>
    <w:p w14:paraId="28ABAFD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自本公告发布之日起5个工作日。</w:t>
      </w:r>
    </w:p>
    <w:p w14:paraId="38F6F9C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六、其他补充事宜</w:t>
      </w:r>
    </w:p>
    <w:p w14:paraId="340771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无</w:t>
      </w:r>
    </w:p>
    <w:p w14:paraId="4DCDFC1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宋体" w:eastAsia="黑体" w:cs="黑体"/>
          <w:i w:val="0"/>
          <w:iCs w:val="0"/>
          <w:caps w:val="0"/>
          <w:color w:val="333333"/>
          <w:spacing w:val="0"/>
          <w:sz w:val="28"/>
          <w:szCs w:val="28"/>
        </w:rPr>
      </w:pPr>
      <w:r>
        <w:rPr>
          <w:rFonts w:hint="eastAsia" w:ascii="黑体" w:hAnsi="宋体" w:eastAsia="黑体" w:cs="黑体"/>
          <w:i w:val="0"/>
          <w:iCs w:val="0"/>
          <w:caps w:val="0"/>
          <w:color w:val="000000"/>
          <w:spacing w:val="0"/>
          <w:sz w:val="28"/>
          <w:szCs w:val="28"/>
          <w:shd w:val="clear" w:fill="FFFFFF"/>
        </w:rPr>
        <w:t>七、对本次招标提出询问，请按以下方式联系。</w:t>
      </w:r>
    </w:p>
    <w:p w14:paraId="3EAC81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1.采购人信息</w:t>
      </w:r>
    </w:p>
    <w:p w14:paraId="4C6C202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名称：铜陵市</w:t>
      </w:r>
      <w:r>
        <w:rPr>
          <w:rFonts w:hint="eastAsia" w:ascii="仿宋" w:hAnsi="仿宋" w:eastAsia="仿宋" w:cs="仿宋"/>
          <w:i w:val="0"/>
          <w:iCs w:val="0"/>
          <w:caps w:val="0"/>
          <w:color w:val="000000"/>
          <w:spacing w:val="0"/>
          <w:sz w:val="28"/>
          <w:szCs w:val="28"/>
          <w:shd w:val="clear" w:fill="FFFFFF"/>
          <w:lang w:val="en-US" w:eastAsia="zh-CN"/>
        </w:rPr>
        <w:t>公共资源交易中心</w:t>
      </w:r>
    </w:p>
    <w:p w14:paraId="198F769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地址：</w:t>
      </w:r>
      <w:r>
        <w:rPr>
          <w:rFonts w:ascii="仿宋" w:hAnsi="仿宋" w:eastAsia="仿宋" w:cs="仿宋"/>
          <w:i w:val="0"/>
          <w:iCs w:val="0"/>
          <w:caps w:val="0"/>
          <w:color w:val="000000"/>
          <w:spacing w:val="0"/>
          <w:sz w:val="28"/>
          <w:szCs w:val="28"/>
          <w:shd w:val="clear" w:fill="FFFFFF"/>
        </w:rPr>
        <w:t>铜都大道3596号投资大厦</w:t>
      </w:r>
    </w:p>
    <w:p w14:paraId="07476B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联系人：代先生</w:t>
      </w:r>
    </w:p>
    <w:p w14:paraId="41331A3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联系方式：0562-</w:t>
      </w:r>
      <w:r>
        <w:rPr>
          <w:rFonts w:hint="eastAsia" w:ascii="仿宋" w:hAnsi="仿宋" w:eastAsia="仿宋" w:cs="仿宋"/>
          <w:i w:val="0"/>
          <w:iCs w:val="0"/>
          <w:caps w:val="0"/>
          <w:color w:val="000000"/>
          <w:spacing w:val="0"/>
          <w:sz w:val="28"/>
          <w:szCs w:val="28"/>
          <w:shd w:val="clear" w:fill="FFFFFF"/>
          <w:lang w:val="en-US" w:eastAsia="zh-CN"/>
        </w:rPr>
        <w:t>5885816</w:t>
      </w:r>
    </w:p>
    <w:p w14:paraId="7D8DA66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000000"/>
          <w:spacing w:val="0"/>
          <w:sz w:val="28"/>
          <w:szCs w:val="28"/>
          <w:shd w:val="clear" w:fill="FFFFFF"/>
        </w:rPr>
        <w:t>2.采购代理机构信息</w:t>
      </w:r>
    </w:p>
    <w:p w14:paraId="2CD78C7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rPr>
        <w:t>名称：铜陵市</w:t>
      </w:r>
      <w:r>
        <w:rPr>
          <w:rFonts w:hint="eastAsia" w:ascii="仿宋" w:hAnsi="仿宋" w:eastAsia="仿宋" w:cs="仿宋"/>
          <w:i w:val="0"/>
          <w:iCs w:val="0"/>
          <w:caps w:val="0"/>
          <w:color w:val="000000"/>
          <w:spacing w:val="0"/>
          <w:sz w:val="28"/>
          <w:szCs w:val="28"/>
          <w:shd w:val="clear" w:fill="FFFFFF"/>
          <w:lang w:val="en-US" w:eastAsia="zh-CN"/>
        </w:rPr>
        <w:t>公共资源交易中心</w:t>
      </w:r>
    </w:p>
    <w:p w14:paraId="141B83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地址：</w:t>
      </w:r>
      <w:r>
        <w:rPr>
          <w:rFonts w:ascii="仿宋" w:hAnsi="仿宋" w:eastAsia="仿宋" w:cs="仿宋"/>
          <w:i w:val="0"/>
          <w:iCs w:val="0"/>
          <w:caps w:val="0"/>
          <w:color w:val="000000"/>
          <w:spacing w:val="0"/>
          <w:sz w:val="28"/>
          <w:szCs w:val="28"/>
          <w:shd w:val="clear" w:fill="FFFFFF"/>
        </w:rPr>
        <w:t>铜都大道3596号投资大厦</w:t>
      </w:r>
    </w:p>
    <w:p w14:paraId="2BA408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000000"/>
          <w:spacing w:val="0"/>
          <w:sz w:val="28"/>
          <w:szCs w:val="28"/>
          <w:shd w:val="clear" w:fill="FFFFFF"/>
          <w:lang w:val="en-US"/>
        </w:rPr>
      </w:pPr>
      <w:r>
        <w:rPr>
          <w:rFonts w:hint="eastAsia" w:ascii="仿宋" w:hAnsi="仿宋" w:eastAsia="仿宋" w:cs="仿宋"/>
          <w:i w:val="0"/>
          <w:iCs w:val="0"/>
          <w:caps w:val="0"/>
          <w:color w:val="000000"/>
          <w:spacing w:val="0"/>
          <w:sz w:val="28"/>
          <w:szCs w:val="28"/>
          <w:shd w:val="clear" w:fill="FFFFFF"/>
          <w:lang w:val="en-US" w:eastAsia="zh-CN"/>
        </w:rPr>
        <w:t>联系人：詹先生</w:t>
      </w:r>
    </w:p>
    <w:p w14:paraId="2A4A490E">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default"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000000"/>
          <w:spacing w:val="0"/>
          <w:sz w:val="28"/>
          <w:szCs w:val="28"/>
          <w:shd w:val="clear" w:fill="FFFFFF"/>
        </w:rPr>
        <w:t>联系方式：</w:t>
      </w:r>
      <w:r>
        <w:rPr>
          <w:rFonts w:hint="eastAsia" w:ascii="仿宋" w:hAnsi="仿宋" w:eastAsia="仿宋" w:cs="仿宋"/>
          <w:i w:val="0"/>
          <w:iCs w:val="0"/>
          <w:caps w:val="0"/>
          <w:color w:val="000000"/>
          <w:spacing w:val="0"/>
          <w:sz w:val="28"/>
          <w:szCs w:val="28"/>
          <w:shd w:val="clear" w:fill="FFFFFF"/>
          <w:lang w:val="en-US" w:eastAsia="zh-CN"/>
        </w:rPr>
        <w:t>0562-5885860</w:t>
      </w:r>
    </w:p>
    <w:p w14:paraId="098FF99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A5B59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77F295C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441F37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0D91BF1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7ED80DB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25CEF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7736135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2641A9D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B8876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3590FE5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F5943D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31FEB78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3F1337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5DB92EE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4FFD821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B15E051">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2D51C5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0763C2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0C713F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F0F6B3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3C7D80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503CB99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6B6958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A46210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1DBECCC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66312EF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9"/>
        <w:rPr>
          <w:rFonts w:hint="eastAsia" w:ascii="仿宋" w:hAnsi="仿宋" w:eastAsia="仿宋" w:cs="仿宋"/>
          <w:i w:val="0"/>
          <w:iCs w:val="0"/>
          <w:caps w:val="0"/>
          <w:color w:val="000000"/>
          <w:spacing w:val="0"/>
          <w:sz w:val="28"/>
          <w:szCs w:val="28"/>
          <w:shd w:val="clear" w:fill="FFFFFF"/>
        </w:rPr>
      </w:pPr>
    </w:p>
    <w:p w14:paraId="0130B4E4">
      <w:pPr>
        <w:pStyle w:val="3"/>
        <w:pageBreakBefore w:val="0"/>
        <w:widowControl w:val="0"/>
        <w:numPr>
          <w:ilvl w:val="0"/>
          <w:numId w:val="1"/>
        </w:numPr>
        <w:tabs>
          <w:tab w:val="left" w:pos="1622"/>
        </w:tabs>
        <w:kinsoku/>
        <w:wordWrap/>
        <w:overflowPunct/>
        <w:topLinePunct w:val="0"/>
        <w:bidi w:val="0"/>
        <w:adjustRightInd w:val="0"/>
        <w:snapToGrid w:val="0"/>
        <w:spacing w:after="0" w:line="360" w:lineRule="auto"/>
        <w:ind w:right="9"/>
        <w:jc w:val="center"/>
        <w:textAlignment w:val="auto"/>
        <w:rPr>
          <w:rFonts w:hint="eastAsia" w:ascii="宋体" w:hAnsi="宋体" w:eastAsia="宋体" w:cs="宋体"/>
          <w:b/>
          <w:bCs/>
          <w:color w:val="auto"/>
          <w:sz w:val="32"/>
          <w:szCs w:val="32"/>
        </w:rPr>
      </w:pPr>
      <w:r>
        <w:rPr>
          <w:rFonts w:hint="eastAsia" w:cs="宋体"/>
          <w:b/>
          <w:bCs/>
          <w:color w:val="auto"/>
          <w:sz w:val="32"/>
          <w:szCs w:val="32"/>
          <w:lang w:val="en-US" w:eastAsia="zh-CN"/>
        </w:rPr>
        <w:t xml:space="preserve"> </w:t>
      </w:r>
      <w:r>
        <w:rPr>
          <w:rFonts w:hint="eastAsia" w:ascii="宋体" w:hAnsi="宋体" w:eastAsia="宋体" w:cs="宋体"/>
          <w:b/>
          <w:bCs/>
          <w:color w:val="auto"/>
          <w:sz w:val="32"/>
          <w:szCs w:val="32"/>
        </w:rPr>
        <w:t>投标人须知</w:t>
      </w:r>
    </w:p>
    <w:p w14:paraId="00DBCEC7">
      <w:pPr>
        <w:pStyle w:val="5"/>
        <w:pageBreakBefore w:val="0"/>
        <w:widowControl w:val="0"/>
        <w:kinsoku/>
        <w:wordWrap/>
        <w:overflowPunct/>
        <w:topLinePunct w:val="0"/>
        <w:bidi w:val="0"/>
        <w:adjustRightInd w:val="0"/>
        <w:snapToGrid w:val="0"/>
        <w:spacing w:after="0" w:line="360" w:lineRule="auto"/>
        <w:ind w:right="0"/>
        <w:jc w:val="center"/>
        <w:textAlignment w:val="auto"/>
        <w:rPr>
          <w:rFonts w:hint="eastAsia" w:ascii="宋体" w:hAnsi="宋体" w:eastAsia="宋体" w:cs="宋体"/>
          <w:b/>
          <w:bCs/>
          <w:color w:val="auto"/>
          <w:sz w:val="24"/>
          <w:szCs w:val="24"/>
        </w:rPr>
      </w:pPr>
      <w:r>
        <w:rPr>
          <w:rFonts w:hint="eastAsia" w:cs="宋体"/>
          <w:b/>
          <w:bCs/>
          <w:color w:val="auto"/>
          <w:sz w:val="24"/>
          <w:szCs w:val="24"/>
          <w:lang w:eastAsia="zh-CN"/>
        </w:rPr>
        <w:t>一、</w:t>
      </w:r>
      <w:r>
        <w:rPr>
          <w:rFonts w:hint="eastAsia" w:ascii="宋体" w:hAnsi="宋体" w:eastAsia="宋体" w:cs="宋体"/>
          <w:b/>
          <w:bCs/>
          <w:color w:val="auto"/>
          <w:sz w:val="24"/>
          <w:szCs w:val="24"/>
          <w:lang w:eastAsia="zh-CN"/>
        </w:rPr>
        <w:t>投标人须知前附表</w:t>
      </w:r>
    </w:p>
    <w:p w14:paraId="268EFE40">
      <w:pPr>
        <w:pStyle w:val="2"/>
        <w:pageBreakBefore w:val="0"/>
        <w:widowControl w:val="0"/>
        <w:kinsoku/>
        <w:wordWrap/>
        <w:overflowPunct/>
        <w:topLinePunct w:val="0"/>
        <w:bidi w:val="0"/>
        <w:adjustRightInd w:val="0"/>
        <w:snapToGrid w:val="0"/>
        <w:spacing w:before="0" w:after="0" w:line="360" w:lineRule="auto"/>
        <w:ind w:right="689"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olor w:val="auto"/>
          <w:sz w:val="24"/>
          <w:szCs w:val="24"/>
          <w:lang w:eastAsia="zh-CN"/>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0"/>
        <w:tblW w:w="8998" w:type="dxa"/>
        <w:tblInd w:w="-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87"/>
        <w:gridCol w:w="1933"/>
        <w:gridCol w:w="6178"/>
      </w:tblGrid>
      <w:tr w14:paraId="6C0A32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blHeader/>
        </w:trPr>
        <w:tc>
          <w:tcPr>
            <w:tcW w:w="887" w:type="dxa"/>
            <w:tcMar>
              <w:left w:w="113" w:type="dxa"/>
              <w:right w:w="113" w:type="dxa"/>
            </w:tcMar>
            <w:vAlign w:val="center"/>
          </w:tcPr>
          <w:p w14:paraId="2B981071">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序号</w:t>
            </w:r>
          </w:p>
        </w:tc>
        <w:tc>
          <w:tcPr>
            <w:tcW w:w="1933" w:type="dxa"/>
            <w:tcMar>
              <w:left w:w="113" w:type="dxa"/>
              <w:right w:w="113" w:type="dxa"/>
            </w:tcMar>
            <w:vAlign w:val="center"/>
          </w:tcPr>
          <w:p w14:paraId="08766C1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条款名称</w:t>
            </w:r>
          </w:p>
        </w:tc>
        <w:tc>
          <w:tcPr>
            <w:tcW w:w="6178" w:type="dxa"/>
            <w:tcMar>
              <w:left w:w="113" w:type="dxa"/>
              <w:right w:w="113" w:type="dxa"/>
            </w:tcMar>
            <w:vAlign w:val="center"/>
          </w:tcPr>
          <w:p w14:paraId="4A782D1F">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说明和要求</w:t>
            </w:r>
          </w:p>
        </w:tc>
      </w:tr>
      <w:tr w14:paraId="6FAFA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4A23061">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933" w:type="dxa"/>
            <w:tcMar>
              <w:left w:w="113" w:type="dxa"/>
              <w:right w:w="113" w:type="dxa"/>
            </w:tcMar>
            <w:vAlign w:val="center"/>
          </w:tcPr>
          <w:p w14:paraId="4A0DD4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left"/>
              <w:textAlignment w:val="auto"/>
              <w:rPr>
                <w:rFonts w:hint="eastAsia" w:ascii="宋体" w:hAnsi="宋体" w:eastAsia="宋体" w:cs="宋体"/>
                <w:b/>
                <w:bCs/>
                <w:color w:val="auto"/>
                <w:kern w:val="0"/>
                <w:sz w:val="24"/>
                <w:szCs w:val="24"/>
                <w:highlight w:val="none"/>
                <w:lang w:val="zh-CN" w:eastAsia="en-US" w:bidi="ar-SA"/>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6178" w:type="dxa"/>
            <w:tcMar>
              <w:left w:w="113" w:type="dxa"/>
              <w:right w:w="113" w:type="dxa"/>
            </w:tcMar>
            <w:vAlign w:val="center"/>
          </w:tcPr>
          <w:p w14:paraId="58830E7B">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不组织</w:t>
            </w:r>
            <w:r>
              <w:rPr>
                <w:rFonts w:hint="eastAsia" w:ascii="宋体" w:hAnsi="宋体" w:eastAsia="宋体" w:cs="宋体"/>
                <w:color w:val="auto"/>
                <w:kern w:val="2"/>
                <w:sz w:val="24"/>
                <w:szCs w:val="24"/>
                <w:highlight w:val="none"/>
                <w:lang w:val="en-US" w:eastAsia="zh-CN"/>
              </w:rPr>
              <w:t>或不召开</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eastAsia="zh-CN"/>
              </w:rPr>
              <w:t>应自行对现场和周围环境进行</w:t>
            </w:r>
            <w:r>
              <w:rPr>
                <w:rFonts w:hint="eastAsia" w:ascii="宋体" w:hAnsi="宋体" w:eastAsia="宋体"/>
                <w:b w:val="0"/>
                <w:color w:val="auto"/>
                <w:sz w:val="24"/>
                <w:highlight w:val="none"/>
              </w:rPr>
              <w:t>考察</w:t>
            </w:r>
            <w:r>
              <w:rPr>
                <w:rFonts w:hint="eastAsia" w:ascii="宋体" w:hAnsi="宋体" w:eastAsia="宋体" w:cs="宋体"/>
                <w:color w:val="auto"/>
                <w:kern w:val="2"/>
                <w:sz w:val="24"/>
                <w:szCs w:val="24"/>
                <w:highlight w:val="none"/>
                <w:lang w:eastAsia="zh-CN"/>
              </w:rPr>
              <w:t>，以获取编制投标文件和签署合同所需的资料。</w:t>
            </w:r>
          </w:p>
          <w:p w14:paraId="20514514">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b w:val="0"/>
                <w:color w:val="auto"/>
                <w:sz w:val="24"/>
                <w:highlight w:val="none"/>
              </w:rPr>
              <w:t>考察</w:t>
            </w:r>
            <w:r>
              <w:rPr>
                <w:rFonts w:hint="eastAsia" w:ascii="宋体" w:hAnsi="宋体" w:eastAsia="宋体" w:cs="宋体"/>
                <w:color w:val="auto"/>
                <w:kern w:val="2"/>
                <w:sz w:val="24"/>
                <w:szCs w:val="24"/>
                <w:highlight w:val="none"/>
                <w:lang w:eastAsia="zh-CN"/>
              </w:rPr>
              <w:t>地点：</w:t>
            </w:r>
            <w:r>
              <w:rPr>
                <w:rFonts w:hint="eastAsia" w:ascii="宋体" w:hAnsi="宋体" w:eastAsia="宋体" w:cs="宋体"/>
                <w:color w:val="auto"/>
                <w:kern w:val="2"/>
                <w:sz w:val="24"/>
                <w:szCs w:val="24"/>
                <w:highlight w:val="none"/>
                <w:lang w:val="en-US" w:eastAsia="zh-CN"/>
              </w:rPr>
              <w:t>铜陵市</w:t>
            </w:r>
            <w:r>
              <w:rPr>
                <w:rFonts w:hint="eastAsia" w:ascii="宋体" w:hAnsi="宋体" w:eastAsia="宋体" w:cs="宋体"/>
                <w:color w:val="auto"/>
                <w:kern w:val="2"/>
                <w:sz w:val="24"/>
                <w:szCs w:val="24"/>
                <w:highlight w:val="none"/>
                <w:lang w:eastAsia="zh-CN"/>
              </w:rPr>
              <w:t>公共资源交易</w:t>
            </w:r>
            <w:r>
              <w:rPr>
                <w:rFonts w:hint="eastAsia" w:ascii="宋体" w:hAnsi="宋体" w:eastAsia="宋体" w:cs="宋体"/>
                <w:color w:val="auto"/>
                <w:kern w:val="2"/>
                <w:sz w:val="24"/>
                <w:szCs w:val="24"/>
                <w:highlight w:val="none"/>
                <w:lang w:val="en-US" w:eastAsia="zh-CN"/>
              </w:rPr>
              <w:t>市场（投资大厦）</w:t>
            </w:r>
          </w:p>
          <w:p w14:paraId="7F8CD1BD">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kern w:val="2"/>
                <w:sz w:val="24"/>
                <w:szCs w:val="24"/>
                <w:highlight w:val="none"/>
                <w:lang w:eastAsia="zh-CN"/>
              </w:rPr>
              <w:t>联系人及联系方式：</w:t>
            </w:r>
            <w:r>
              <w:rPr>
                <w:rFonts w:hint="eastAsia" w:ascii="宋体" w:hAnsi="宋体" w:eastAsia="宋体" w:cs="宋体"/>
                <w:color w:val="auto"/>
                <w:kern w:val="2"/>
                <w:sz w:val="24"/>
                <w:szCs w:val="24"/>
                <w:highlight w:val="none"/>
                <w:u w:val="single"/>
                <w:lang w:val="en-US" w:eastAsia="zh-CN"/>
              </w:rPr>
              <w:t xml:space="preserve"> 代先生 0562-5885816</w:t>
            </w:r>
          </w:p>
        </w:tc>
      </w:tr>
      <w:tr w14:paraId="32D71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5D6047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933" w:type="dxa"/>
            <w:tcMar>
              <w:left w:w="113" w:type="dxa"/>
              <w:right w:w="113" w:type="dxa"/>
            </w:tcMar>
            <w:vAlign w:val="center"/>
          </w:tcPr>
          <w:p w14:paraId="61370D49">
            <w:pPr>
              <w:pageBreakBefore w:val="0"/>
              <w:widowControl w:val="0"/>
              <w:kinsoku/>
              <w:overflowPunct/>
              <w:topLinePunct w:val="0"/>
              <w:bidi w:val="0"/>
              <w:adjustRightInd w:val="0"/>
              <w:snapToGrid w:val="0"/>
              <w:spacing w:beforeAutospacing="0" w:after="0" w:afterAutospacing="0" w:line="360" w:lineRule="auto"/>
              <w:jc w:val="left"/>
              <w:textAlignment w:val="auto"/>
              <w:rPr>
                <w:rFonts w:hint="eastAsia" w:ascii="宋体" w:hAnsi="宋体" w:eastAsia="宋体" w:cs="宋体"/>
                <w:b w:val="0"/>
                <w:bCs/>
                <w:color w:val="auto"/>
                <w:kern w:val="0"/>
                <w:sz w:val="24"/>
                <w:szCs w:val="28"/>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询问截止时间</w:t>
            </w:r>
          </w:p>
        </w:tc>
        <w:tc>
          <w:tcPr>
            <w:tcW w:w="6178" w:type="dxa"/>
            <w:tcMar>
              <w:left w:w="113" w:type="dxa"/>
              <w:right w:w="113" w:type="dxa"/>
            </w:tcMar>
            <w:vAlign w:val="center"/>
          </w:tcPr>
          <w:p w14:paraId="40CF09FD">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2026</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年</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5</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月</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12</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日</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17</w:t>
            </w:r>
            <w:r>
              <w:rPr>
                <w:rFonts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时</w:t>
            </w:r>
            <w:r>
              <w:rPr>
                <w:rFonts w:hint="eastAsia" w:ascii="宋体" w:hAnsi="宋体" w:eastAsia="宋体" w:cs="宋体"/>
                <w:b w:val="0"/>
                <w:bCs/>
                <w:color w:val="000000" w:themeColor="text1"/>
                <w:kern w:val="0"/>
                <w:sz w:val="24"/>
                <w:szCs w:val="28"/>
                <w:highlight w:val="none"/>
                <w:u w:val="none"/>
                <w:lang w:val="en-US" w:eastAsia="zh-CN" w:bidi="ar-SA"/>
                <w14:textFill>
                  <w14:solidFill>
                    <w14:schemeClr w14:val="tx1"/>
                  </w14:solidFill>
                </w14:textFill>
              </w:rPr>
              <w:t>00</w:t>
            </w:r>
            <w:r>
              <w:rPr>
                <w:rFonts w:hint="eastAsia" w:ascii="宋体" w:hAnsi="宋体" w:eastAsia="宋体" w:cs="宋体"/>
                <w:b w:val="0"/>
                <w:bCs/>
                <w:color w:val="000000" w:themeColor="text1"/>
                <w:kern w:val="0"/>
                <w:sz w:val="24"/>
                <w:szCs w:val="28"/>
                <w:highlight w:val="none"/>
                <w:u w:val="none"/>
                <w:lang w:val="en-US" w:eastAsia="en-US" w:bidi="ar-SA"/>
                <w14:textFill>
                  <w14:solidFill>
                    <w14:schemeClr w14:val="tx1"/>
                  </w14:solidFill>
                </w14:textFill>
              </w:rPr>
              <w:t>分</w:t>
            </w:r>
          </w:p>
        </w:tc>
      </w:tr>
      <w:tr w14:paraId="2CEC5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704FABC0">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933" w:type="dxa"/>
            <w:tcMar>
              <w:left w:w="113" w:type="dxa"/>
              <w:right w:w="113" w:type="dxa"/>
            </w:tcMar>
            <w:vAlign w:val="center"/>
          </w:tcPr>
          <w:p w14:paraId="0CBF3537">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en-US" w:eastAsia="zh-CN" w:bidi="ar-SA"/>
              </w:rPr>
              <w:t>包别划分</w:t>
            </w:r>
          </w:p>
        </w:tc>
        <w:tc>
          <w:tcPr>
            <w:tcW w:w="6178" w:type="dxa"/>
            <w:tcMar>
              <w:left w:w="113" w:type="dxa"/>
              <w:right w:w="113" w:type="dxa"/>
            </w:tcMar>
            <w:vAlign w:val="center"/>
          </w:tcPr>
          <w:p w14:paraId="2797D058">
            <w:pPr>
              <w:pageBreakBefore w:val="0"/>
              <w:widowControl w:val="0"/>
              <w:kinsoku/>
              <w:wordWrap/>
              <w:overflowPunct/>
              <w:topLinePunct w:val="0"/>
              <w:autoSpaceDE w:val="0"/>
              <w:autoSpaceDN w:val="0"/>
              <w:bidi w:val="0"/>
              <w:adjustRightInd w:val="0"/>
              <w:snapToGrid w:val="0"/>
              <w:spacing w:beforeAutospacing="0" w:after="0" w:afterAutospacing="0" w:line="360" w:lineRule="auto"/>
              <w:ind w:left="0" w:leftChars="0" w:right="0" w:firstLine="0" w:firstLineChars="0"/>
              <w:jc w:val="both"/>
              <w:textAlignment w:val="auto"/>
              <w:outlineLvl w:val="9"/>
              <w:rPr>
                <w:rFonts w:hint="eastAsia" w:ascii="宋体" w:hAnsi="宋体" w:eastAsia="宋体" w:cs="宋体"/>
                <w:strike w:val="0"/>
                <w:dstrike w:val="0"/>
                <w:color w:val="auto"/>
                <w:spacing w:val="-1"/>
                <w:kern w:val="2"/>
                <w:sz w:val="24"/>
                <w:szCs w:val="24"/>
                <w:highlight w:val="none"/>
                <w:lang w:val="en-US" w:eastAsia="zh-CN" w:bidi="ar-SA"/>
              </w:rPr>
            </w:pPr>
            <w:r>
              <w:rPr>
                <w:rFonts w:hint="eastAsia" w:ascii="宋体" w:hAnsi="宋体" w:eastAsia="宋体" w:cs="宋体"/>
                <w:color w:val="auto"/>
                <w:highlight w:val="none"/>
                <w:lang w:val="en-US" w:eastAsia="zh-CN"/>
              </w:rPr>
              <w:t>一个包</w:t>
            </w:r>
          </w:p>
        </w:tc>
      </w:tr>
      <w:tr w14:paraId="56726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40F2E2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1933" w:type="dxa"/>
            <w:tcMar>
              <w:left w:w="113" w:type="dxa"/>
              <w:right w:w="113" w:type="dxa"/>
            </w:tcMar>
            <w:vAlign w:val="center"/>
          </w:tcPr>
          <w:p w14:paraId="5455D0FB">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投标保证金</w:t>
            </w:r>
          </w:p>
        </w:tc>
        <w:tc>
          <w:tcPr>
            <w:tcW w:w="6178" w:type="dxa"/>
            <w:tcMar>
              <w:left w:w="113" w:type="dxa"/>
              <w:right w:w="113" w:type="dxa"/>
            </w:tcMar>
            <w:vAlign w:val="center"/>
          </w:tcPr>
          <w:p w14:paraId="361B3CA5">
            <w:pPr>
              <w:pageBreakBefore w:val="0"/>
              <w:kinsoku/>
              <w:wordWrap w:val="0"/>
              <w:overflowPunct/>
              <w:topLinePunct w:val="0"/>
              <w:bidi w:val="0"/>
              <w:adjustRightInd w:val="0"/>
              <w:snapToGrid w:val="0"/>
              <w:spacing w:beforeAutospacing="0" w:after="0" w:afterAutospacing="0" w:line="360" w:lineRule="auto"/>
              <w:jc w:val="left"/>
              <w:textAlignment w:val="auto"/>
              <w:rPr>
                <w:rFonts w:hint="eastAsia" w:ascii="宋体" w:hAnsi="宋体" w:eastAsia="宋体" w:cs="宋体"/>
                <w:strike w:val="0"/>
                <w:dstrike w:val="0"/>
                <w:color w:val="auto"/>
                <w:spacing w:val="-1"/>
                <w:kern w:val="0"/>
                <w:sz w:val="24"/>
                <w:szCs w:val="24"/>
                <w:highlight w:val="none"/>
                <w:lang w:eastAsia="en-US"/>
              </w:rPr>
            </w:pPr>
            <w:r>
              <w:rPr>
                <w:rFonts w:hint="eastAsia" w:ascii="宋体" w:hAnsi="宋体" w:eastAsia="宋体" w:cs="宋体"/>
                <w:bCs/>
                <w:color w:val="auto"/>
                <w:kern w:val="0"/>
                <w:sz w:val="24"/>
                <w:szCs w:val="28"/>
                <w:highlight w:val="none"/>
                <w:lang w:eastAsia="en-US"/>
              </w:rPr>
              <w:t>不收取</w:t>
            </w:r>
          </w:p>
        </w:tc>
      </w:tr>
      <w:tr w14:paraId="69B2D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826E13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1933" w:type="dxa"/>
            <w:tcMar>
              <w:left w:w="113" w:type="dxa"/>
              <w:right w:w="113" w:type="dxa"/>
            </w:tcMar>
            <w:vAlign w:val="center"/>
          </w:tcPr>
          <w:p w14:paraId="138157E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val="0"/>
                <w:bCs/>
                <w:color w:val="auto"/>
                <w:kern w:val="0"/>
                <w:sz w:val="24"/>
                <w:szCs w:val="28"/>
                <w:highlight w:val="none"/>
                <w:lang w:val="en-US" w:eastAsia="en-US" w:bidi="ar-SA"/>
              </w:rPr>
              <w:t>投标有效期</w:t>
            </w:r>
          </w:p>
        </w:tc>
        <w:tc>
          <w:tcPr>
            <w:tcW w:w="6178" w:type="dxa"/>
            <w:tcMar>
              <w:left w:w="113" w:type="dxa"/>
              <w:right w:w="113" w:type="dxa"/>
            </w:tcMar>
            <w:vAlign w:val="center"/>
          </w:tcPr>
          <w:p w14:paraId="624625E6">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single"/>
                <w:lang w:val="en-US" w:eastAsia="zh-CN" w:bidi="ar-SA"/>
              </w:rPr>
              <w:t>60</w:t>
            </w:r>
            <w:r>
              <w:rPr>
                <w:rFonts w:hint="eastAsia" w:ascii="宋体" w:hAnsi="宋体" w:eastAsia="宋体" w:cs="宋体"/>
                <w:b w:val="0"/>
                <w:bCs/>
                <w:color w:val="auto"/>
                <w:kern w:val="0"/>
                <w:sz w:val="24"/>
                <w:szCs w:val="28"/>
                <w:highlight w:val="none"/>
                <w:lang w:val="en-US" w:eastAsia="en-US" w:bidi="ar-SA"/>
              </w:rPr>
              <w:t>日历日</w:t>
            </w:r>
          </w:p>
        </w:tc>
      </w:tr>
      <w:tr w14:paraId="4BCF3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3562953">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eastAsia" w:ascii="宋体" w:hAnsi="宋体" w:eastAsia="宋体" w:cs="宋体"/>
                <w:color w:val="auto"/>
                <w:kern w:val="2"/>
                <w:sz w:val="24"/>
                <w:szCs w:val="24"/>
                <w:highlight w:val="green"/>
                <w:lang w:val="en-US" w:eastAsia="zh-CN" w:bidi="ar-SA"/>
              </w:rPr>
            </w:pPr>
            <w:r>
              <w:rPr>
                <w:rFonts w:hint="eastAsia" w:ascii="宋体" w:hAnsi="宋体" w:eastAsia="宋体" w:cs="宋体"/>
                <w:color w:val="auto"/>
                <w:sz w:val="24"/>
                <w:highlight w:val="none"/>
                <w:lang w:val="en-US" w:eastAsia="zh-CN"/>
              </w:rPr>
              <w:t>6</w:t>
            </w:r>
          </w:p>
        </w:tc>
        <w:tc>
          <w:tcPr>
            <w:tcW w:w="1933" w:type="dxa"/>
            <w:tcMar>
              <w:left w:w="113" w:type="dxa"/>
              <w:right w:w="113" w:type="dxa"/>
            </w:tcMar>
            <w:vAlign w:val="center"/>
          </w:tcPr>
          <w:p w14:paraId="28963FED">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green"/>
                <w:lang w:val="en-US" w:eastAsia="en-US" w:bidi="ar-SA"/>
              </w:rPr>
            </w:pPr>
            <w:r>
              <w:rPr>
                <w:rFonts w:ascii="宋体" w:hAnsi="宋体" w:eastAsia="宋体" w:cs="宋体"/>
                <w:color w:val="auto"/>
                <w:sz w:val="24"/>
                <w:szCs w:val="24"/>
              </w:rPr>
              <w:t>投标截止时间</w:t>
            </w:r>
          </w:p>
        </w:tc>
        <w:tc>
          <w:tcPr>
            <w:tcW w:w="6178" w:type="dxa"/>
            <w:tcMar>
              <w:left w:w="113" w:type="dxa"/>
              <w:right w:w="113" w:type="dxa"/>
            </w:tcMar>
            <w:vAlign w:val="center"/>
          </w:tcPr>
          <w:p w14:paraId="1546F292">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u w:val="none"/>
                <w:shd w:val="clear" w:color="auto" w:fill="auto"/>
                <w:lang w:val="en-US" w:eastAsia="zh-CN" w:bidi="ar-SA"/>
              </w:rPr>
            </w:pPr>
            <w:r>
              <w:rPr>
                <w:rFonts w:ascii="宋体" w:hAnsi="宋体" w:eastAsia="宋体" w:cs="宋体"/>
                <w:color w:val="auto"/>
                <w:sz w:val="24"/>
                <w:szCs w:val="24"/>
                <w:u w:val="single"/>
              </w:rPr>
              <w:t>详见</w:t>
            </w:r>
            <w:r>
              <w:rPr>
                <w:rFonts w:hint="eastAsia" w:ascii="宋体" w:hAnsi="宋体" w:eastAsia="宋体" w:cs="宋体"/>
                <w:color w:val="auto"/>
                <w:sz w:val="24"/>
                <w:szCs w:val="24"/>
                <w:u w:val="single"/>
                <w:lang w:val="en-US" w:eastAsia="zh-CN"/>
              </w:rPr>
              <w:t>招标公告</w:t>
            </w:r>
          </w:p>
        </w:tc>
      </w:tr>
      <w:tr w14:paraId="6F7E1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5BBF005">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p>
        </w:tc>
        <w:tc>
          <w:tcPr>
            <w:tcW w:w="1933" w:type="dxa"/>
            <w:tcMar>
              <w:left w:w="113" w:type="dxa"/>
              <w:right w:w="113" w:type="dxa"/>
            </w:tcMar>
            <w:vAlign w:val="center"/>
          </w:tcPr>
          <w:p w14:paraId="5DE0409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资格审查</w:t>
            </w:r>
          </w:p>
        </w:tc>
        <w:tc>
          <w:tcPr>
            <w:tcW w:w="6178" w:type="dxa"/>
            <w:tcMar>
              <w:left w:w="113" w:type="dxa"/>
              <w:right w:w="113" w:type="dxa"/>
            </w:tcMar>
            <w:vAlign w:val="center"/>
          </w:tcPr>
          <w:p w14:paraId="3AD49A9B">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8"/>
                <w:highlight w:val="none"/>
                <w:lang w:val="en-US" w:eastAsia="en-US" w:bidi="ar-SA"/>
              </w:rPr>
              <w:t>采购人审查</w:t>
            </w:r>
          </w:p>
        </w:tc>
      </w:tr>
      <w:tr w14:paraId="32753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D4C965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1933" w:type="dxa"/>
            <w:tcMar>
              <w:left w:w="113" w:type="dxa"/>
              <w:right w:w="113" w:type="dxa"/>
            </w:tcMar>
            <w:vAlign w:val="center"/>
          </w:tcPr>
          <w:p w14:paraId="5CD86979">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评标方法</w:t>
            </w:r>
          </w:p>
        </w:tc>
        <w:tc>
          <w:tcPr>
            <w:tcW w:w="6178" w:type="dxa"/>
            <w:tcMar>
              <w:left w:w="113" w:type="dxa"/>
              <w:right w:w="113" w:type="dxa"/>
            </w:tcMar>
            <w:vAlign w:val="center"/>
          </w:tcPr>
          <w:p w14:paraId="796C605A">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none"/>
                <w:lang w:val="en-US" w:eastAsia="en-US" w:bidi="ar-SA"/>
              </w:rPr>
              <w:t>综合评分法</w:t>
            </w:r>
          </w:p>
        </w:tc>
      </w:tr>
      <w:tr w14:paraId="5F538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350A42F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1933" w:type="dxa"/>
            <w:tcMar>
              <w:left w:w="113" w:type="dxa"/>
              <w:right w:w="113" w:type="dxa"/>
            </w:tcMar>
            <w:vAlign w:val="center"/>
          </w:tcPr>
          <w:p w14:paraId="26452BE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评标委员会推荐</w:t>
            </w:r>
            <w:r>
              <w:rPr>
                <w:rFonts w:ascii="宋体" w:hAnsi="宋体" w:eastAsia="宋体" w:cs="宋体"/>
                <w:b w:val="0"/>
                <w:bCs/>
                <w:color w:val="auto"/>
                <w:kern w:val="0"/>
                <w:sz w:val="24"/>
                <w:szCs w:val="28"/>
                <w:highlight w:val="none"/>
                <w:lang w:val="en-US" w:eastAsia="en-US" w:bidi="ar-SA"/>
              </w:rPr>
              <w:t>中标候选</w:t>
            </w:r>
            <w:r>
              <w:rPr>
                <w:rFonts w:hint="eastAsia" w:ascii="宋体" w:hAnsi="宋体" w:eastAsia="宋体" w:cs="宋体"/>
                <w:b w:val="0"/>
                <w:bCs/>
                <w:color w:val="auto"/>
                <w:kern w:val="0"/>
                <w:sz w:val="24"/>
                <w:szCs w:val="28"/>
                <w:highlight w:val="none"/>
                <w:lang w:val="en-US" w:eastAsia="en-US" w:bidi="ar-SA"/>
              </w:rPr>
              <w:t>人的</w:t>
            </w:r>
            <w:r>
              <w:rPr>
                <w:rFonts w:ascii="宋体" w:hAnsi="宋体" w:eastAsia="宋体" w:cs="宋体"/>
                <w:b w:val="0"/>
                <w:bCs/>
                <w:color w:val="auto"/>
                <w:kern w:val="0"/>
                <w:sz w:val="24"/>
                <w:szCs w:val="28"/>
                <w:highlight w:val="none"/>
                <w:lang w:val="en-US" w:eastAsia="en-US" w:bidi="ar-SA"/>
              </w:rPr>
              <w:t>数量</w:t>
            </w:r>
          </w:p>
        </w:tc>
        <w:tc>
          <w:tcPr>
            <w:tcW w:w="6178" w:type="dxa"/>
            <w:tcMar>
              <w:left w:w="113" w:type="dxa"/>
              <w:right w:w="113" w:type="dxa"/>
            </w:tcMar>
            <w:vAlign w:val="center"/>
          </w:tcPr>
          <w:p w14:paraId="4FA9CB8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single"/>
                <w:lang w:val="en-US" w:eastAsia="zh-CN" w:bidi="ar-SA"/>
              </w:rPr>
              <w:t xml:space="preserve">  3  </w:t>
            </w:r>
            <w:r>
              <w:rPr>
                <w:rFonts w:hint="eastAsia" w:ascii="宋体" w:hAnsi="宋体" w:eastAsia="宋体" w:cs="宋体"/>
                <w:b w:val="0"/>
                <w:bCs/>
                <w:strike w:val="0"/>
                <w:dstrike w:val="0"/>
                <w:color w:val="auto"/>
                <w:kern w:val="0"/>
                <w:sz w:val="24"/>
                <w:szCs w:val="24"/>
                <w:highlight w:val="none"/>
                <w:lang w:val="en-US" w:eastAsia="zh-CN" w:bidi="ar-SA"/>
              </w:rPr>
              <w:t>名</w:t>
            </w:r>
          </w:p>
        </w:tc>
      </w:tr>
      <w:tr w14:paraId="76C05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13F9EDA1">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933" w:type="dxa"/>
            <w:tcMar>
              <w:left w:w="113" w:type="dxa"/>
              <w:right w:w="113" w:type="dxa"/>
            </w:tcMar>
            <w:vAlign w:val="center"/>
          </w:tcPr>
          <w:p w14:paraId="2AC2ED5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确定中标人</w:t>
            </w:r>
          </w:p>
        </w:tc>
        <w:tc>
          <w:tcPr>
            <w:tcW w:w="6178" w:type="dxa"/>
            <w:tcMar>
              <w:left w:w="113" w:type="dxa"/>
              <w:right w:w="113" w:type="dxa"/>
            </w:tcMar>
            <w:vAlign w:val="center"/>
          </w:tcPr>
          <w:p w14:paraId="7BE21E8F">
            <w:pPr>
              <w:pageBreakBefore w:val="0"/>
              <w:kinsoku/>
              <w:overflowPunct/>
              <w:topLinePunct w:val="0"/>
              <w:bidi w:val="0"/>
              <w:adjustRightInd w:val="0"/>
              <w:snapToGrid w:val="0"/>
              <w:spacing w:after="0" w:line="360" w:lineRule="auto"/>
              <w:jc w:val="left"/>
              <w:textAlignment w:val="auto"/>
              <w:rPr>
                <w:rFonts w:hint="default"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以综合总得分高低进行排序，若综合总得分相同以报价低者优先；若综合总得分与报价均相同的，由评委会按照评分项中服务方案优劣顺序推荐中标候选供应商，若仍相同。则采取由评委会随机抽取的方式确定中标候选供应商顺序。</w:t>
            </w:r>
          </w:p>
        </w:tc>
      </w:tr>
      <w:tr w14:paraId="215ED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791620FA">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1933" w:type="dxa"/>
            <w:tcMar>
              <w:left w:w="113" w:type="dxa"/>
              <w:right w:w="113" w:type="dxa"/>
            </w:tcMar>
            <w:vAlign w:val="center"/>
          </w:tcPr>
          <w:p w14:paraId="02AB0FA8">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none"/>
                <w:lang w:val="en-US" w:eastAsia="en-US" w:bidi="ar-SA"/>
              </w:rPr>
              <w:t>随中标结果公告同时</w:t>
            </w:r>
            <w:r>
              <w:rPr>
                <w:rFonts w:hint="eastAsia" w:ascii="宋体" w:hAnsi="宋体" w:eastAsia="宋体" w:cs="宋体"/>
                <w:b w:val="0"/>
                <w:bCs/>
                <w:color w:val="auto"/>
                <w:kern w:val="0"/>
                <w:sz w:val="24"/>
                <w:szCs w:val="28"/>
                <w:highlight w:val="none"/>
                <w:u w:val="none"/>
                <w:lang w:val="en-US" w:eastAsia="zh-CN" w:bidi="ar-SA"/>
              </w:rPr>
              <w:t>公告</w:t>
            </w:r>
            <w:r>
              <w:rPr>
                <w:rFonts w:hint="eastAsia" w:ascii="宋体" w:hAnsi="宋体" w:eastAsia="宋体" w:cs="宋体"/>
                <w:b w:val="0"/>
                <w:bCs/>
                <w:color w:val="auto"/>
                <w:kern w:val="0"/>
                <w:sz w:val="24"/>
                <w:szCs w:val="28"/>
                <w:highlight w:val="none"/>
                <w:u w:val="none"/>
                <w:lang w:val="en-US" w:eastAsia="en-US" w:bidi="ar-SA"/>
              </w:rPr>
              <w:t>的内容</w:t>
            </w:r>
          </w:p>
        </w:tc>
        <w:tc>
          <w:tcPr>
            <w:tcW w:w="6178" w:type="dxa"/>
            <w:tcMar>
              <w:left w:w="113" w:type="dxa"/>
              <w:right w:w="113" w:type="dxa"/>
            </w:tcMar>
            <w:vAlign w:val="center"/>
          </w:tcPr>
          <w:p w14:paraId="5A6FC6B7">
            <w:pPr>
              <w:pageBreakBefore w:val="0"/>
              <w:widowControl w:val="0"/>
              <w:kinsoku/>
              <w:overflowPunct/>
              <w:topLinePunct w:val="0"/>
              <w:bidi w:val="0"/>
              <w:adjustRightInd w:val="0"/>
              <w:snapToGrid w:val="0"/>
              <w:spacing w:beforeAutospacing="0" w:after="0" w:afterAutospacing="0" w:line="360" w:lineRule="auto"/>
              <w:jc w:val="both"/>
              <w:textAlignment w:val="auto"/>
              <w:rPr>
                <w:rFonts w:ascii="宋体" w:hAnsi="宋体" w:eastAsia="宋体" w:cs="宋体"/>
                <w:b w:val="0"/>
                <w:bCs/>
                <w:color w:val="auto"/>
                <w:kern w:val="0"/>
                <w:sz w:val="24"/>
                <w:szCs w:val="28"/>
                <w:highlight w:val="none"/>
                <w:u w:val="none"/>
                <w:lang w:val="en-US" w:eastAsia="en-US" w:bidi="ar-SA"/>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1</w:t>
            </w:r>
            <w:r>
              <w:rPr>
                <w:rFonts w:hint="eastAsia" w:ascii="宋体" w:hAnsi="宋体" w:eastAsia="宋体" w:cs="宋体"/>
                <w:b w:val="0"/>
                <w:bCs/>
                <w:color w:val="auto"/>
                <w:kern w:val="0"/>
                <w:sz w:val="24"/>
                <w:szCs w:val="28"/>
                <w:highlight w:val="none"/>
                <w:u w:val="none"/>
                <w:lang w:val="en-US" w:eastAsia="en-US" w:bidi="ar-SA"/>
              </w:rPr>
              <w:t>）中小企业声明函；</w:t>
            </w:r>
            <w:r>
              <w:rPr>
                <w:rFonts w:hint="eastAsia" w:ascii="宋体" w:hAnsi="宋体" w:eastAsia="宋体" w:cs="宋体"/>
                <w:b w:val="0"/>
                <w:bCs/>
                <w:i/>
                <w:iCs/>
                <w:color w:val="auto"/>
                <w:kern w:val="0"/>
                <w:sz w:val="24"/>
                <w:szCs w:val="28"/>
                <w:highlight w:val="none"/>
                <w:u w:val="none"/>
                <w:lang w:val="en-US" w:eastAsia="en-US" w:bidi="ar-SA"/>
              </w:rPr>
              <w:t>（如有）</w:t>
            </w:r>
          </w:p>
          <w:p w14:paraId="60DE8E5F">
            <w:pPr>
              <w:pageBreakBefore w:val="0"/>
              <w:widowControl w:val="0"/>
              <w:kinsoku/>
              <w:overflowPunct/>
              <w:topLinePunct w:val="0"/>
              <w:bidi w:val="0"/>
              <w:adjustRightInd w:val="0"/>
              <w:snapToGrid w:val="0"/>
              <w:spacing w:beforeAutospacing="0" w:after="0" w:afterAutospacing="0" w:line="360" w:lineRule="auto"/>
              <w:jc w:val="both"/>
              <w:textAlignment w:val="auto"/>
              <w:rPr>
                <w:color w:val="auto"/>
                <w:lang w:val="en-US" w:eastAsia="en-US"/>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2）</w:t>
            </w:r>
            <w:r>
              <w:rPr>
                <w:rFonts w:hint="eastAsia" w:ascii="宋体" w:hAnsi="宋体" w:eastAsia="宋体" w:cs="宋体"/>
                <w:b w:val="0"/>
                <w:bCs/>
                <w:color w:val="auto"/>
                <w:kern w:val="0"/>
                <w:sz w:val="24"/>
                <w:szCs w:val="28"/>
                <w:highlight w:val="none"/>
                <w:u w:val="none"/>
                <w:lang w:val="en-US" w:eastAsia="en-US" w:bidi="ar-SA"/>
              </w:rPr>
              <w:t>残疾人福利性单位声明函；</w:t>
            </w:r>
            <w:r>
              <w:rPr>
                <w:rFonts w:hint="eastAsia" w:ascii="宋体" w:hAnsi="宋体" w:eastAsia="宋体" w:cs="宋体"/>
                <w:b w:val="0"/>
                <w:bCs/>
                <w:i/>
                <w:iCs/>
                <w:color w:val="auto"/>
                <w:kern w:val="0"/>
                <w:sz w:val="24"/>
                <w:szCs w:val="28"/>
                <w:highlight w:val="none"/>
                <w:u w:val="none"/>
                <w:lang w:val="en-US" w:eastAsia="en-US" w:bidi="ar-SA"/>
              </w:rPr>
              <w:t>（如有）</w:t>
            </w:r>
          </w:p>
          <w:p w14:paraId="5B853E1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i/>
                <w:iCs/>
                <w:color w:val="auto"/>
                <w:kern w:val="0"/>
                <w:sz w:val="24"/>
                <w:szCs w:val="28"/>
                <w:highlight w:val="none"/>
                <w:u w:val="none"/>
                <w:lang w:val="en-US" w:eastAsia="zh-CN" w:bidi="ar-SA"/>
              </w:rPr>
            </w:pPr>
            <w:r>
              <w:rPr>
                <w:rFonts w:hint="eastAsia" w:ascii="宋体" w:hAnsi="宋体" w:eastAsia="宋体" w:cs="宋体"/>
                <w:b w:val="0"/>
                <w:bCs/>
                <w:color w:val="auto"/>
                <w:kern w:val="0"/>
                <w:sz w:val="24"/>
                <w:szCs w:val="28"/>
                <w:highlight w:val="none"/>
                <w:u w:val="none"/>
                <w:lang w:val="en-US" w:eastAsia="zh-CN" w:bidi="ar-SA"/>
              </w:rPr>
              <w:t>（3）</w:t>
            </w:r>
            <w:r>
              <w:rPr>
                <w:rFonts w:hint="eastAsia" w:ascii="宋体" w:hAnsi="宋体" w:eastAsia="宋体" w:cs="宋体"/>
                <w:b w:val="0"/>
                <w:bCs/>
                <w:color w:val="auto"/>
                <w:kern w:val="0"/>
                <w:sz w:val="24"/>
                <w:szCs w:val="28"/>
                <w:highlight w:val="none"/>
                <w:u w:val="none"/>
                <w:lang w:val="en-US" w:eastAsia="en-US" w:bidi="ar-SA"/>
              </w:rPr>
              <w:t>中标</w:t>
            </w:r>
            <w:r>
              <w:rPr>
                <w:rFonts w:hint="eastAsia" w:ascii="宋体" w:hAnsi="宋体" w:eastAsia="宋体" w:cs="宋体"/>
                <w:b w:val="0"/>
                <w:bCs/>
                <w:color w:val="auto"/>
                <w:kern w:val="0"/>
                <w:sz w:val="24"/>
                <w:szCs w:val="28"/>
                <w:highlight w:val="none"/>
                <w:u w:val="none"/>
                <w:lang w:val="en-US" w:eastAsia="zh-CN" w:bidi="ar-SA"/>
              </w:rPr>
              <w:t>（</w:t>
            </w:r>
            <w:r>
              <w:rPr>
                <w:rFonts w:hint="eastAsia" w:ascii="宋体" w:hAnsi="宋体" w:eastAsia="宋体" w:cs="宋体"/>
                <w:b w:val="0"/>
                <w:bCs/>
                <w:color w:val="auto"/>
                <w:kern w:val="0"/>
                <w:sz w:val="24"/>
                <w:szCs w:val="28"/>
                <w:highlight w:val="none"/>
                <w:u w:val="none"/>
                <w:lang w:val="en-US" w:eastAsia="en-US" w:bidi="ar-SA"/>
              </w:rPr>
              <w:t>成交</w:t>
            </w:r>
            <w:r>
              <w:rPr>
                <w:rFonts w:hint="eastAsia" w:ascii="宋体" w:hAnsi="宋体" w:eastAsia="宋体" w:cs="宋体"/>
                <w:b w:val="0"/>
                <w:bCs/>
                <w:color w:val="auto"/>
                <w:kern w:val="0"/>
                <w:sz w:val="24"/>
                <w:szCs w:val="28"/>
                <w:highlight w:val="none"/>
                <w:u w:val="none"/>
                <w:lang w:val="en-US" w:eastAsia="zh-CN" w:bidi="ar-SA"/>
              </w:rPr>
              <w:t>）</w:t>
            </w:r>
            <w:r>
              <w:rPr>
                <w:rFonts w:hint="eastAsia" w:ascii="宋体" w:hAnsi="宋体" w:eastAsia="宋体" w:cs="宋体"/>
                <w:b w:val="0"/>
                <w:bCs/>
                <w:color w:val="auto"/>
                <w:kern w:val="0"/>
                <w:sz w:val="24"/>
                <w:szCs w:val="28"/>
                <w:highlight w:val="none"/>
                <w:u w:val="none"/>
                <w:lang w:val="en-US" w:eastAsia="en-US" w:bidi="ar-SA"/>
              </w:rPr>
              <w:t>供应商的评审总得分</w:t>
            </w:r>
            <w:r>
              <w:rPr>
                <w:rFonts w:hint="eastAsia" w:ascii="宋体" w:hAnsi="宋体" w:eastAsia="宋体" w:cs="宋体"/>
                <w:b w:val="0"/>
                <w:bCs/>
                <w:i/>
                <w:iCs/>
                <w:color w:val="auto"/>
                <w:kern w:val="0"/>
                <w:sz w:val="24"/>
                <w:szCs w:val="28"/>
                <w:highlight w:val="none"/>
                <w:u w:val="none"/>
                <w:lang w:val="en-US" w:eastAsia="zh-CN" w:bidi="ar-SA"/>
              </w:rPr>
              <w:t>（适用综合评分法）</w:t>
            </w:r>
          </w:p>
          <w:p w14:paraId="1385A45B">
            <w:pPr>
              <w:keepNext w:val="0"/>
              <w:keepLines w:val="0"/>
              <w:pageBreakBefore w:val="0"/>
              <w:widowControl w:val="0"/>
              <w:suppressLineNumbers w:val="0"/>
              <w:kinsoku/>
              <w:overflowPunct/>
              <w:topLinePunct w:val="0"/>
              <w:bidi w:val="0"/>
              <w:adjustRightInd w:val="0"/>
              <w:snapToGrid w:val="0"/>
              <w:spacing w:beforeAutospacing="0" w:after="0" w:afterAutospacing="0" w:line="360" w:lineRule="auto"/>
              <w:ind w:left="0" w:right="0"/>
              <w:jc w:val="both"/>
              <w:textAlignment w:val="auto"/>
              <w:rPr>
                <w:rFonts w:hint="eastAsia" w:ascii="宋体" w:hAnsi="宋体" w:eastAsia="宋体" w:cs="宋体"/>
                <w:b w:val="0"/>
                <w:bCs/>
                <w:color w:val="auto"/>
                <w:kern w:val="0"/>
                <w:sz w:val="24"/>
                <w:szCs w:val="28"/>
                <w:highlight w:val="yellow"/>
                <w:u w:val="none"/>
                <w:lang w:val="en-US" w:eastAsia="en-US" w:bidi="ar-SA"/>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4</w:t>
            </w: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主要中标标的承诺函</w:t>
            </w:r>
            <w:r>
              <w:rPr>
                <w:rFonts w:hint="eastAsia" w:ascii="宋体" w:hAnsi="宋体" w:eastAsia="宋体" w:cs="宋体"/>
                <w:b w:val="0"/>
                <w:bCs/>
                <w:color w:val="auto"/>
                <w:kern w:val="0"/>
                <w:sz w:val="24"/>
                <w:szCs w:val="28"/>
                <w:highlight w:val="none"/>
                <w:u w:val="none"/>
                <w:lang w:val="en-US" w:eastAsia="en-US" w:bidi="ar-SA"/>
              </w:rPr>
              <w:t>；</w:t>
            </w:r>
          </w:p>
          <w:p w14:paraId="6E5975B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strike w:val="0"/>
                <w:dstrike w:val="0"/>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5</w:t>
            </w:r>
            <w:r>
              <w:rPr>
                <w:rFonts w:hint="eastAsia" w:ascii="宋体" w:hAnsi="宋体" w:eastAsia="宋体" w:cs="宋体"/>
                <w:b w:val="0"/>
                <w:bCs/>
                <w:color w:val="auto"/>
                <w:kern w:val="0"/>
                <w:sz w:val="24"/>
                <w:szCs w:val="28"/>
                <w:highlight w:val="none"/>
                <w:u w:val="none"/>
                <w:lang w:val="en-US" w:eastAsia="en-US" w:bidi="ar-SA"/>
              </w:rPr>
              <w:t>）</w:t>
            </w:r>
            <w:r>
              <w:rPr>
                <w:rFonts w:hint="eastAsia" w:ascii="宋体" w:hAnsi="宋体" w:eastAsia="宋体" w:cs="宋体"/>
                <w:b w:val="0"/>
                <w:bCs/>
                <w:color w:val="auto"/>
                <w:kern w:val="0"/>
                <w:sz w:val="24"/>
                <w:szCs w:val="28"/>
                <w:highlight w:val="none"/>
                <w:u w:val="none"/>
                <w:lang w:val="en-US" w:eastAsia="zh-CN" w:bidi="ar-SA"/>
              </w:rPr>
              <w:t>投标业绩承诺函</w:t>
            </w:r>
            <w:r>
              <w:rPr>
                <w:rFonts w:hint="eastAsia" w:ascii="宋体" w:hAnsi="宋体" w:eastAsia="宋体" w:cs="宋体"/>
                <w:b w:val="0"/>
                <w:bCs/>
                <w:color w:val="auto"/>
                <w:kern w:val="0"/>
                <w:sz w:val="24"/>
                <w:szCs w:val="28"/>
                <w:highlight w:val="none"/>
                <w:u w:val="none"/>
                <w:lang w:val="en-US" w:eastAsia="en-US" w:bidi="ar-SA"/>
              </w:rPr>
              <w:t>；（如有）</w:t>
            </w:r>
          </w:p>
        </w:tc>
      </w:tr>
      <w:tr w14:paraId="2C6F3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D5DDAB7">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p>
        </w:tc>
        <w:tc>
          <w:tcPr>
            <w:tcW w:w="1933" w:type="dxa"/>
            <w:tcMar>
              <w:left w:w="113" w:type="dxa"/>
              <w:right w:w="113" w:type="dxa"/>
            </w:tcMar>
            <w:vAlign w:val="center"/>
          </w:tcPr>
          <w:p w14:paraId="69B1E513">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中标通知书发出的形式</w:t>
            </w:r>
          </w:p>
        </w:tc>
        <w:tc>
          <w:tcPr>
            <w:tcW w:w="6178" w:type="dxa"/>
            <w:tcMar>
              <w:left w:w="113" w:type="dxa"/>
              <w:right w:w="113" w:type="dxa"/>
            </w:tcMar>
            <w:vAlign w:val="center"/>
          </w:tcPr>
          <w:p w14:paraId="3B2DD53B">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Calibri" w:hAnsi="Calibri" w:eastAsia="Calibri" w:cs="宋体"/>
                <w:b/>
                <w:bCs/>
                <w:color w:val="auto"/>
                <w:kern w:val="0"/>
                <w:sz w:val="28"/>
                <w:szCs w:val="28"/>
                <w:lang w:val="en-US" w:eastAsia="zh-CN" w:bidi="ar-SA"/>
              </w:rPr>
            </w:pPr>
            <w:r>
              <w:rPr>
                <w:rFonts w:hint="eastAsia" w:ascii="宋体" w:hAnsi="宋体" w:eastAsia="宋体" w:cs="宋体"/>
                <w:b w:val="0"/>
                <w:bCs/>
                <w:color w:val="auto"/>
                <w:kern w:val="0"/>
                <w:sz w:val="24"/>
                <w:szCs w:val="28"/>
                <w:highlight w:val="none"/>
                <w:u w:val="none"/>
                <w:lang w:val="en-US" w:eastAsia="zh-CN" w:bidi="ar-SA"/>
              </w:rPr>
              <w:t>采购人</w:t>
            </w:r>
            <w:r>
              <w:rPr>
                <w:rFonts w:hint="eastAsia" w:ascii="宋体" w:hAnsi="宋体" w:eastAsia="宋体" w:cs="宋体"/>
                <w:b w:val="0"/>
                <w:bCs/>
                <w:color w:val="auto"/>
                <w:kern w:val="0"/>
                <w:sz w:val="24"/>
                <w:szCs w:val="28"/>
                <w:highlight w:val="none"/>
                <w:u w:val="none"/>
                <w:lang w:val="en-US" w:eastAsia="en-US" w:bidi="ar-SA"/>
              </w:rPr>
              <w:t>向中标人发出</w:t>
            </w:r>
            <w:r>
              <w:rPr>
                <w:rFonts w:hint="eastAsia" w:ascii="宋体" w:hAnsi="宋体" w:eastAsia="宋体" w:cs="宋体"/>
                <w:b w:val="0"/>
                <w:bCs/>
                <w:color w:val="auto"/>
                <w:kern w:val="0"/>
                <w:sz w:val="24"/>
                <w:szCs w:val="28"/>
                <w:highlight w:val="none"/>
                <w:u w:val="none"/>
                <w:lang w:val="en-US" w:eastAsia="zh-CN" w:bidi="ar-SA"/>
              </w:rPr>
              <w:t>纸质</w:t>
            </w:r>
            <w:r>
              <w:rPr>
                <w:rFonts w:hint="eastAsia" w:ascii="宋体" w:hAnsi="宋体" w:eastAsia="宋体" w:cs="宋体"/>
                <w:b w:val="0"/>
                <w:bCs/>
                <w:color w:val="auto"/>
                <w:kern w:val="0"/>
                <w:sz w:val="24"/>
                <w:szCs w:val="28"/>
                <w:highlight w:val="none"/>
                <w:u w:val="none"/>
                <w:lang w:val="en-US" w:eastAsia="en-US" w:bidi="ar-SA"/>
              </w:rPr>
              <w:t>中标通知书。</w:t>
            </w:r>
          </w:p>
        </w:tc>
      </w:tr>
      <w:tr w14:paraId="69B8C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AE9A810">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p>
        </w:tc>
        <w:tc>
          <w:tcPr>
            <w:tcW w:w="1933" w:type="dxa"/>
            <w:tcMar>
              <w:left w:w="113" w:type="dxa"/>
              <w:right w:w="113" w:type="dxa"/>
            </w:tcMar>
            <w:vAlign w:val="center"/>
          </w:tcPr>
          <w:p w14:paraId="5F47BE4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告知招标结果的形式</w:t>
            </w:r>
          </w:p>
        </w:tc>
        <w:tc>
          <w:tcPr>
            <w:tcW w:w="6178" w:type="dxa"/>
            <w:tcMar>
              <w:left w:w="113" w:type="dxa"/>
              <w:right w:w="113" w:type="dxa"/>
            </w:tcMar>
            <w:vAlign w:val="center"/>
          </w:tcPr>
          <w:p w14:paraId="0BA90F7C">
            <w:pPr>
              <w:pageBreakBefore w:val="0"/>
              <w:widowControl w:val="0"/>
              <w:kinsoku/>
              <w:wordWrap/>
              <w:overflowPunct/>
              <w:topLinePunct w:val="0"/>
              <w:bidi w:val="0"/>
              <w:adjustRightInd w:val="0"/>
              <w:snapToGrid w:val="0"/>
              <w:spacing w:after="0" w:line="360" w:lineRule="auto"/>
              <w:jc w:val="left"/>
              <w:textAlignment w:val="auto"/>
              <w:rPr>
                <w:rFonts w:hint="eastAsia" w:ascii="宋体" w:hAnsi="宋体" w:eastAsia="宋体" w:cs="宋体"/>
                <w:b/>
                <w:bCs/>
                <w:color w:val="auto"/>
                <w:spacing w:val="1"/>
                <w:kern w:val="0"/>
                <w:sz w:val="24"/>
                <w:szCs w:val="24"/>
                <w:highlight w:val="yellow"/>
                <w:lang w:val="en-US" w:eastAsia="zh-CN" w:bidi="ar-SA"/>
              </w:rPr>
            </w:pPr>
            <w:r>
              <w:rPr>
                <w:rFonts w:hint="eastAsia" w:ascii="宋体" w:hAnsi="宋体" w:eastAsia="宋体" w:cs="宋体"/>
                <w:color w:val="auto"/>
                <w:kern w:val="0"/>
                <w:sz w:val="24"/>
                <w:szCs w:val="24"/>
                <w:highlight w:val="none"/>
                <w:lang w:eastAsia="en-US"/>
              </w:rPr>
              <w:t>铜陵市公共资源交易网站</w:t>
            </w:r>
            <w:r>
              <w:rPr>
                <w:rFonts w:hint="eastAsia" w:ascii="宋体" w:hAnsi="宋体" w:eastAsia="宋体" w:cs="宋体"/>
                <w:color w:val="auto"/>
                <w:kern w:val="0"/>
                <w:sz w:val="24"/>
                <w:szCs w:val="24"/>
                <w:highlight w:val="none"/>
                <w:lang w:val="en-US" w:eastAsia="zh-CN"/>
              </w:rPr>
              <w:t>发布</w:t>
            </w:r>
          </w:p>
        </w:tc>
      </w:tr>
      <w:tr w14:paraId="63EBB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3C4A5DFB">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w:t>
            </w:r>
          </w:p>
        </w:tc>
        <w:tc>
          <w:tcPr>
            <w:tcW w:w="1933" w:type="dxa"/>
            <w:tcMar>
              <w:left w:w="113" w:type="dxa"/>
              <w:right w:w="113" w:type="dxa"/>
            </w:tcMar>
            <w:vAlign w:val="center"/>
          </w:tcPr>
          <w:p w14:paraId="6D6CD88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en-US" w:bidi="ar-SA"/>
              </w:rPr>
              <w:t>履约保证金</w:t>
            </w:r>
          </w:p>
        </w:tc>
        <w:tc>
          <w:tcPr>
            <w:tcW w:w="6178" w:type="dxa"/>
            <w:tcMar>
              <w:left w:w="113" w:type="dxa"/>
              <w:right w:w="113" w:type="dxa"/>
            </w:tcMar>
            <w:vAlign w:val="top"/>
          </w:tcPr>
          <w:p w14:paraId="2D8AEB58">
            <w:pPr>
              <w:pageBreakBefore w:val="0"/>
              <w:kinsoku/>
              <w:overflowPunct/>
              <w:topLinePunct w:val="0"/>
              <w:bidi w:val="0"/>
              <w:adjustRightInd w:val="0"/>
              <w:snapToGrid w:val="0"/>
              <w:spacing w:after="0" w:line="360" w:lineRule="auto"/>
              <w:jc w:val="left"/>
              <w:textAlignment w:val="auto"/>
              <w:rPr>
                <w:rFonts w:hint="eastAsia" w:ascii="宋体" w:hAnsi="宋体" w:eastAsia="宋体" w:cs="宋体"/>
                <w:color w:val="auto"/>
                <w:spacing w:val="1"/>
                <w:kern w:val="0"/>
                <w:sz w:val="24"/>
                <w:szCs w:val="24"/>
                <w:highlight w:val="none"/>
                <w:lang w:val="en-US" w:eastAsia="zh-CN"/>
              </w:rPr>
            </w:pPr>
            <w:r>
              <w:rPr>
                <w:rFonts w:hint="eastAsia" w:ascii="宋体" w:hAnsi="宋体" w:eastAsia="宋体" w:cs="宋体"/>
                <w:bCs/>
                <w:color w:val="auto"/>
                <w:kern w:val="0"/>
                <w:sz w:val="24"/>
                <w:szCs w:val="28"/>
                <w:highlight w:val="none"/>
                <w:lang w:eastAsia="en-US"/>
              </w:rPr>
              <w:t>免收</w:t>
            </w:r>
          </w:p>
        </w:tc>
      </w:tr>
      <w:tr w14:paraId="0D200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shd w:val="clear" w:color="auto" w:fill="auto"/>
            <w:tcMar>
              <w:left w:w="113" w:type="dxa"/>
              <w:right w:w="113" w:type="dxa"/>
            </w:tcMar>
            <w:vAlign w:val="center"/>
          </w:tcPr>
          <w:p w14:paraId="1C87EC45">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933" w:type="dxa"/>
            <w:shd w:val="clear" w:color="auto" w:fill="auto"/>
            <w:tcMar>
              <w:left w:w="113" w:type="dxa"/>
              <w:right w:w="113" w:type="dxa"/>
            </w:tcMar>
            <w:vAlign w:val="center"/>
          </w:tcPr>
          <w:p w14:paraId="0AE5BFA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代理费用</w:t>
            </w:r>
          </w:p>
        </w:tc>
        <w:tc>
          <w:tcPr>
            <w:tcW w:w="6178" w:type="dxa"/>
            <w:shd w:val="clear" w:color="auto" w:fill="auto"/>
            <w:tcMar>
              <w:left w:w="113" w:type="dxa"/>
              <w:right w:w="113" w:type="dxa"/>
            </w:tcMar>
            <w:vAlign w:val="center"/>
          </w:tcPr>
          <w:p w14:paraId="3DFB115A">
            <w:pPr>
              <w:pageBreakBefore w:val="0"/>
              <w:widowControl w:val="0"/>
              <w:kinsoku/>
              <w:wordWrap/>
              <w:overflowPunct/>
              <w:topLinePunct w:val="0"/>
              <w:bidi w:val="0"/>
              <w:adjustRightInd w:val="0"/>
              <w:snapToGrid w:val="0"/>
              <w:spacing w:after="0" w:line="360" w:lineRule="auto"/>
              <w:jc w:val="left"/>
              <w:textAlignment w:val="auto"/>
              <w:rPr>
                <w:rFonts w:hint="eastAsia" w:ascii="宋体" w:hAnsi="宋体" w:eastAsia="宋体" w:cs="宋体"/>
                <w:b/>
                <w:bCs/>
                <w:color w:val="auto"/>
                <w:spacing w:val="1"/>
                <w:kern w:val="0"/>
                <w:sz w:val="24"/>
                <w:szCs w:val="24"/>
                <w:highlight w:val="none"/>
                <w:lang w:val="en-US" w:eastAsia="zh-CN" w:bidi="ar-SA"/>
              </w:rPr>
            </w:pPr>
            <w:r>
              <w:rPr>
                <w:rFonts w:hint="eastAsia" w:ascii="宋体" w:hAnsi="宋体" w:eastAsia="宋体" w:cs="宋体"/>
                <w:color w:val="auto"/>
                <w:spacing w:val="14"/>
                <w:kern w:val="0"/>
                <w:sz w:val="24"/>
                <w:szCs w:val="24"/>
                <w:lang w:eastAsia="zh-CN"/>
              </w:rPr>
              <w:t>免收</w:t>
            </w:r>
          </w:p>
        </w:tc>
      </w:tr>
      <w:tr w14:paraId="00C54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71C7E51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w:t>
            </w:r>
          </w:p>
        </w:tc>
        <w:tc>
          <w:tcPr>
            <w:tcW w:w="1933" w:type="dxa"/>
            <w:tcMar>
              <w:left w:w="113" w:type="dxa"/>
              <w:right w:w="113" w:type="dxa"/>
            </w:tcMar>
            <w:vAlign w:val="center"/>
          </w:tcPr>
          <w:p w14:paraId="4E9ACF8D">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zh-CN" w:bidi="ar-SA"/>
              </w:rPr>
              <w:t>签订合同</w:t>
            </w:r>
          </w:p>
        </w:tc>
        <w:tc>
          <w:tcPr>
            <w:tcW w:w="6178" w:type="dxa"/>
            <w:tcMar>
              <w:left w:w="113" w:type="dxa"/>
              <w:right w:w="113" w:type="dxa"/>
            </w:tcMar>
            <w:vAlign w:val="top"/>
          </w:tcPr>
          <w:p w14:paraId="0083E41A">
            <w:pPr>
              <w:pageBreakBefore w:val="0"/>
              <w:widowControl/>
              <w:kinsoku/>
              <w:wordWrap/>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（1）采购人与中标人应当自发出中标通知书之日起30日内签订合同。</w:t>
            </w:r>
          </w:p>
          <w:p w14:paraId="2E2CFC99">
            <w:pPr>
              <w:pageBreakBefore w:val="0"/>
              <w:widowControl/>
              <w:kinsoku/>
              <w:wordWrap/>
              <w:overflowPunct/>
              <w:topLinePunct w:val="0"/>
              <w:bidi w:val="0"/>
              <w:adjustRightInd w:val="0"/>
              <w:snapToGrid w:val="0"/>
              <w:spacing w:beforeAutospacing="0" w:after="0" w:afterAutospacing="0" w:line="360" w:lineRule="auto"/>
              <w:ind w:left="0" w:leftChars="0" w:right="0" w:rightChars="0"/>
              <w:jc w:val="left"/>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default" w:ascii="宋体" w:hAnsi="宋体" w:eastAsia="宋体" w:cs="宋体"/>
                <w:b w:val="0"/>
                <w:bCs w:val="0"/>
                <w:color w:val="auto"/>
                <w:kern w:val="0"/>
                <w:sz w:val="24"/>
                <w:szCs w:val="24"/>
                <w:highlight w:val="none"/>
                <w:lang w:val="en-US" w:eastAsia="zh-CN" w:bidi="ar-SA"/>
              </w:rPr>
              <w:t>涉及国家秘密、商业秘密的信息和其他依法不得公开的信息除外。</w:t>
            </w:r>
          </w:p>
        </w:tc>
      </w:tr>
      <w:tr w14:paraId="49F1B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95111D6">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17</w:t>
            </w:r>
          </w:p>
        </w:tc>
        <w:tc>
          <w:tcPr>
            <w:tcW w:w="1933" w:type="dxa"/>
            <w:tcMar>
              <w:left w:w="113" w:type="dxa"/>
              <w:right w:w="113" w:type="dxa"/>
            </w:tcMar>
            <w:vAlign w:val="center"/>
          </w:tcPr>
          <w:p w14:paraId="7B7F6831">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bCs/>
                <w:color w:val="auto"/>
                <w:kern w:val="0"/>
                <w:sz w:val="24"/>
                <w:szCs w:val="24"/>
                <w:highlight w:val="none"/>
                <w:lang w:val="zh-CN" w:eastAsia="en-US" w:bidi="ar-SA"/>
              </w:rPr>
            </w:pPr>
            <w:r>
              <w:rPr>
                <w:rFonts w:hint="eastAsia" w:ascii="宋体" w:hAnsi="宋体" w:eastAsia="宋体" w:cs="宋体"/>
                <w:b w:val="0"/>
                <w:bCs/>
                <w:color w:val="auto"/>
                <w:kern w:val="0"/>
                <w:sz w:val="24"/>
                <w:szCs w:val="28"/>
                <w:highlight w:val="none"/>
                <w:lang w:val="en-US" w:eastAsia="en-US" w:bidi="ar-SA"/>
              </w:rPr>
              <w:t>质疑函递交方式、接收部门、联系电话和通讯地址</w:t>
            </w:r>
          </w:p>
        </w:tc>
        <w:tc>
          <w:tcPr>
            <w:tcW w:w="6178" w:type="dxa"/>
            <w:tcMar>
              <w:left w:w="113" w:type="dxa"/>
              <w:right w:w="113" w:type="dxa"/>
            </w:tcMar>
            <w:vAlign w:val="center"/>
          </w:tcPr>
          <w:p w14:paraId="6A9FE405">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en-US"/>
              </w:rPr>
              <w:t>递交方式：</w:t>
            </w:r>
            <w:r>
              <w:rPr>
                <w:rFonts w:hint="default" w:ascii="宋体" w:hAnsi="宋体" w:eastAsia="宋体" w:cs="宋体"/>
                <w:color w:val="auto"/>
                <w:kern w:val="2"/>
                <w:sz w:val="24"/>
                <w:szCs w:val="24"/>
                <w:highlight w:val="none"/>
                <w:lang w:val="en-US" w:eastAsia="zh-CN"/>
              </w:rPr>
              <w:t>书面形式递交</w:t>
            </w:r>
          </w:p>
          <w:p w14:paraId="76519F2D">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en-US"/>
              </w:rPr>
              <w:t>接收部门：铜陵市</w:t>
            </w:r>
            <w:r>
              <w:rPr>
                <w:rFonts w:hint="eastAsia" w:ascii="宋体" w:hAnsi="宋体" w:eastAsia="宋体" w:cs="宋体"/>
                <w:color w:val="auto"/>
                <w:kern w:val="2"/>
                <w:sz w:val="24"/>
                <w:szCs w:val="24"/>
                <w:highlight w:val="none"/>
                <w:lang w:eastAsia="zh-CN"/>
              </w:rPr>
              <w:t>公共资源交易中心</w:t>
            </w:r>
          </w:p>
          <w:p w14:paraId="20B21589">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default" w:ascii="宋体" w:hAnsi="宋体" w:eastAsia="宋体" w:cs="宋体"/>
                <w:color w:val="auto"/>
                <w:kern w:val="2"/>
                <w:sz w:val="24"/>
                <w:szCs w:val="24"/>
                <w:highlight w:val="none"/>
                <w:lang w:val="en-US" w:eastAsia="en-US"/>
              </w:rPr>
            </w:pPr>
            <w:r>
              <w:rPr>
                <w:rFonts w:hint="eastAsia" w:ascii="宋体" w:hAnsi="宋体" w:eastAsia="宋体" w:cs="宋体"/>
                <w:color w:val="auto"/>
                <w:kern w:val="2"/>
                <w:sz w:val="24"/>
                <w:szCs w:val="24"/>
                <w:highlight w:val="none"/>
                <w:lang w:val="en-US" w:eastAsia="en-US"/>
              </w:rPr>
              <w:t>联系电话：</w:t>
            </w:r>
            <w:r>
              <w:rPr>
                <w:rFonts w:hint="eastAsia" w:ascii="宋体" w:hAnsi="宋体" w:eastAsia="宋体" w:cs="宋体"/>
                <w:color w:val="auto"/>
                <w:kern w:val="2"/>
                <w:sz w:val="24"/>
                <w:szCs w:val="24"/>
                <w:highlight w:val="none"/>
                <w:lang w:val="en-US" w:eastAsia="zh-CN"/>
              </w:rPr>
              <w:t>0562-5885816</w:t>
            </w:r>
          </w:p>
          <w:p w14:paraId="55DAB9EE">
            <w:pPr>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bCs/>
                <w:color w:val="auto"/>
                <w:kern w:val="0"/>
                <w:sz w:val="24"/>
                <w:szCs w:val="24"/>
                <w:highlight w:val="none"/>
                <w:lang w:val="en-US" w:eastAsia="en-US" w:bidi="ar-SA"/>
              </w:rPr>
            </w:pPr>
            <w:r>
              <w:rPr>
                <w:rFonts w:hint="eastAsia" w:ascii="宋体" w:hAnsi="宋体" w:eastAsia="宋体" w:cs="宋体"/>
                <w:color w:val="auto"/>
                <w:kern w:val="2"/>
                <w:sz w:val="24"/>
                <w:szCs w:val="24"/>
                <w:highlight w:val="none"/>
                <w:lang w:val="en-US" w:eastAsia="en-US"/>
              </w:rPr>
              <w:t>通讯地址：</w:t>
            </w:r>
            <w:r>
              <w:rPr>
                <w:rFonts w:hint="eastAsia" w:ascii="宋体" w:hAnsi="宋体" w:eastAsia="宋体" w:cs="宋体"/>
                <w:color w:val="auto"/>
                <w:kern w:val="2"/>
                <w:sz w:val="24"/>
                <w:szCs w:val="24"/>
                <w:highlight w:val="none"/>
                <w:lang w:eastAsia="zh-CN"/>
              </w:rPr>
              <w:t>铜都大道3596号投资大厦</w:t>
            </w:r>
          </w:p>
        </w:tc>
      </w:tr>
      <w:tr w14:paraId="002B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3CA0829A">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w:t>
            </w:r>
          </w:p>
        </w:tc>
        <w:tc>
          <w:tcPr>
            <w:tcW w:w="1933" w:type="dxa"/>
            <w:tcMar>
              <w:left w:w="113" w:type="dxa"/>
              <w:right w:w="113" w:type="dxa"/>
            </w:tcMar>
            <w:vAlign w:val="center"/>
          </w:tcPr>
          <w:p w14:paraId="009E0A0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其他内容</w:t>
            </w:r>
          </w:p>
        </w:tc>
        <w:tc>
          <w:tcPr>
            <w:tcW w:w="6178" w:type="dxa"/>
            <w:tcMar>
              <w:left w:w="113" w:type="dxa"/>
              <w:right w:w="113" w:type="dxa"/>
            </w:tcMar>
            <w:vAlign w:val="center"/>
          </w:tcPr>
          <w:p w14:paraId="04BBE557">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无</w:t>
            </w:r>
          </w:p>
        </w:tc>
      </w:tr>
      <w:tr w14:paraId="33E0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05F2CA7E">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19</w:t>
            </w:r>
          </w:p>
        </w:tc>
        <w:tc>
          <w:tcPr>
            <w:tcW w:w="1933" w:type="dxa"/>
            <w:tcMar>
              <w:left w:w="113" w:type="dxa"/>
              <w:right w:w="113" w:type="dxa"/>
            </w:tcMar>
            <w:vAlign w:val="center"/>
          </w:tcPr>
          <w:p w14:paraId="1CB6C7DF">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en-US" w:bidi="ar-SA"/>
              </w:rPr>
              <w:t>关于联合体投标的相关约定</w:t>
            </w:r>
            <w:r>
              <w:rPr>
                <w:rFonts w:hint="eastAsia" w:ascii="宋体" w:hAnsi="宋体" w:eastAsia="宋体" w:cs="宋体"/>
                <w:b w:val="0"/>
                <w:bCs/>
                <w:color w:val="auto"/>
                <w:kern w:val="0"/>
                <w:sz w:val="24"/>
                <w:szCs w:val="28"/>
                <w:highlight w:val="none"/>
                <w:lang w:val="en-US" w:eastAsia="zh-CN" w:bidi="ar-SA"/>
              </w:rPr>
              <w:t>（如有）</w:t>
            </w:r>
          </w:p>
        </w:tc>
        <w:tc>
          <w:tcPr>
            <w:tcW w:w="6178" w:type="dxa"/>
            <w:tcMar>
              <w:left w:w="113" w:type="dxa"/>
              <w:right w:w="113" w:type="dxa"/>
            </w:tcMar>
            <w:vAlign w:val="center"/>
          </w:tcPr>
          <w:p w14:paraId="54015855">
            <w:pPr>
              <w:pStyle w:val="41"/>
              <w:pageBreakBefore w:val="0"/>
              <w:widowControl w:val="0"/>
              <w:kinsoku/>
              <w:wordWrap w:val="0"/>
              <w:overflowPunct/>
              <w:topLinePunct w:val="0"/>
              <w:bidi w:val="0"/>
              <w:adjustRightInd w:val="0"/>
              <w:snapToGrid w:val="0"/>
              <w:spacing w:beforeAutospacing="0" w:afterAutospacing="0" w:line="360" w:lineRule="auto"/>
              <w:ind w:left="0"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highlight w:val="none"/>
                <w:lang w:val="zh-CN"/>
              </w:rPr>
              <w:t>不接受</w:t>
            </w:r>
          </w:p>
          <w:p w14:paraId="3788B9B8">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color w:val="auto"/>
                <w:kern w:val="0"/>
                <w:sz w:val="24"/>
                <w:szCs w:val="28"/>
                <w:highlight w:val="none"/>
                <w:lang w:val="en-US" w:eastAsia="zh-CN" w:bidi="ar-SA"/>
              </w:rPr>
            </w:pPr>
          </w:p>
        </w:tc>
      </w:tr>
      <w:tr w14:paraId="53B95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66D13FC3">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w:t>
            </w:r>
          </w:p>
        </w:tc>
        <w:tc>
          <w:tcPr>
            <w:tcW w:w="1933" w:type="dxa"/>
            <w:tcMar>
              <w:left w:w="113" w:type="dxa"/>
              <w:right w:w="113" w:type="dxa"/>
            </w:tcMar>
            <w:vAlign w:val="center"/>
          </w:tcPr>
          <w:p w14:paraId="239A2637">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社保证明材料</w:t>
            </w:r>
            <w:r>
              <w:rPr>
                <w:rFonts w:hint="eastAsia" w:ascii="宋体" w:hAnsi="宋体" w:eastAsia="宋体" w:cs="宋体"/>
                <w:b w:val="0"/>
                <w:bCs w:val="0"/>
                <w:color w:val="auto"/>
                <w:kern w:val="0"/>
                <w:sz w:val="24"/>
                <w:szCs w:val="28"/>
                <w:highlight w:val="none"/>
                <w:lang w:val="en-US" w:eastAsia="zh-CN" w:bidi="ar-SA"/>
              </w:rPr>
              <w:t>（如有）</w:t>
            </w:r>
          </w:p>
        </w:tc>
        <w:tc>
          <w:tcPr>
            <w:tcW w:w="6178" w:type="dxa"/>
            <w:tcMar>
              <w:left w:w="113" w:type="dxa"/>
              <w:right w:w="113" w:type="dxa"/>
            </w:tcMar>
            <w:vAlign w:val="center"/>
          </w:tcPr>
          <w:p w14:paraId="57CC5987">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本项目招标文件中要求提供的社保证明材料为下述形式之一（投标文件中须提供扫描件）：</w:t>
            </w:r>
          </w:p>
          <w:p w14:paraId="791BEB5D">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（1）社保部门官方网站查询的缴费记录截图；</w:t>
            </w:r>
          </w:p>
          <w:p w14:paraId="1A635CB7">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（2）社保部门的书面证明材料；</w:t>
            </w:r>
          </w:p>
          <w:p w14:paraId="1A2FA57D">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（3）其他经评标委员会认可的证明材料。</w:t>
            </w:r>
          </w:p>
          <w:p w14:paraId="22E97A10">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（4）法定代表人参与项目的，无需提供社保证明材料，提供身份证明扫描件即可。</w:t>
            </w:r>
          </w:p>
        </w:tc>
      </w:tr>
      <w:tr w14:paraId="65F29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6653B892">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1933" w:type="dxa"/>
            <w:tcMar>
              <w:left w:w="113" w:type="dxa"/>
              <w:right w:w="113" w:type="dxa"/>
            </w:tcMar>
            <w:vAlign w:val="center"/>
          </w:tcPr>
          <w:p w14:paraId="59CEBCEE">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本项目提供的其他资料</w:t>
            </w:r>
            <w:r>
              <w:rPr>
                <w:rFonts w:hint="eastAsia" w:ascii="宋体" w:hAnsi="宋体" w:eastAsia="宋体" w:cs="宋体"/>
                <w:b w:val="0"/>
                <w:bCs w:val="0"/>
                <w:color w:val="auto"/>
                <w:kern w:val="0"/>
                <w:sz w:val="24"/>
                <w:szCs w:val="28"/>
                <w:highlight w:val="none"/>
                <w:lang w:val="en-US" w:eastAsia="zh-CN" w:bidi="ar-SA"/>
              </w:rPr>
              <w:t>（如有）</w:t>
            </w:r>
          </w:p>
        </w:tc>
        <w:tc>
          <w:tcPr>
            <w:tcW w:w="6178" w:type="dxa"/>
            <w:tcMar>
              <w:left w:w="113" w:type="dxa"/>
              <w:right w:w="113" w:type="dxa"/>
            </w:tcMar>
            <w:vAlign w:val="center"/>
          </w:tcPr>
          <w:p w14:paraId="347C3298">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default" w:ascii="宋体" w:hAnsi="宋体" w:eastAsia="宋体" w:cs="宋体"/>
                <w:b w:val="0"/>
                <w:bCs w:val="0"/>
                <w:color w:val="auto"/>
                <w:kern w:val="0"/>
                <w:sz w:val="24"/>
                <w:szCs w:val="24"/>
                <w:highlight w:val="none"/>
                <w:u w:val="singl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无 </w:t>
            </w:r>
          </w:p>
          <w:p w14:paraId="2C525840">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仿宋_GB2312"/>
                <w:b w:val="0"/>
                <w:bCs/>
                <w:color w:val="auto"/>
                <w:kern w:val="2"/>
                <w:sz w:val="24"/>
                <w:szCs w:val="24"/>
                <w:highlight w:val="none"/>
                <w:lang w:val="en-US" w:eastAsia="zh-CN" w:bidi="ar-SA"/>
              </w:rPr>
            </w:pPr>
          </w:p>
        </w:tc>
      </w:tr>
      <w:tr w14:paraId="3117F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9BB4F03">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w:t>
            </w:r>
          </w:p>
        </w:tc>
        <w:tc>
          <w:tcPr>
            <w:tcW w:w="1933" w:type="dxa"/>
            <w:tcMar>
              <w:left w:w="113" w:type="dxa"/>
              <w:right w:w="113" w:type="dxa"/>
            </w:tcMar>
            <w:vAlign w:val="center"/>
          </w:tcPr>
          <w:p w14:paraId="6C6D24A9">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重要提示</w:t>
            </w:r>
          </w:p>
        </w:tc>
        <w:tc>
          <w:tcPr>
            <w:tcW w:w="6178" w:type="dxa"/>
            <w:tcMar>
              <w:left w:w="113" w:type="dxa"/>
              <w:right w:w="113" w:type="dxa"/>
            </w:tcMar>
            <w:vAlign w:val="center"/>
          </w:tcPr>
          <w:p w14:paraId="13D348A5">
            <w:pPr>
              <w:pageBreakBefore w:val="0"/>
              <w:widowControl w:val="0"/>
              <w:numPr>
                <w:ilvl w:val="-1"/>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（1）中标人应在规定期限内提交履约担保并与采购人签订合同，若中标人未能在规定期限内提交履约担保或签订合同，采购人有权取消中标人中标资格，并追究有关责任；</w:t>
            </w:r>
          </w:p>
          <w:p w14:paraId="2E10E1B2">
            <w:pPr>
              <w:pageBreakBefore w:val="0"/>
              <w:widowControl w:val="0"/>
              <w:numPr>
                <w:ilvl w:val="-1"/>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（2）合同签订后，中标人存在规定时间内不组织人员进场开工，不履行供货、安装或服务义务等情况，采购人有权解除合同，并追究违约责任；</w:t>
            </w:r>
          </w:p>
          <w:p w14:paraId="665D0154">
            <w:pPr>
              <w:pageBreakBefore w:val="0"/>
              <w:widowControl w:val="0"/>
              <w:numPr>
                <w:ilvl w:val="-1"/>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（3）中标人中标后被监管部门查实存在违法行为，不满足中标条件的，由采购人取消中标资格，并做好项目后续工作； </w:t>
            </w:r>
          </w:p>
          <w:p w14:paraId="3EED0DDE">
            <w:pPr>
              <w:pageBreakBefore w:val="0"/>
              <w:widowControl w:val="0"/>
              <w:numPr>
                <w:ilvl w:val="0"/>
                <w:numId w:val="0"/>
              </w:numPr>
              <w:kinsoku/>
              <w:overflowPunct/>
              <w:topLinePunct w:val="0"/>
              <w:bidi w:val="0"/>
              <w:adjustRightInd w:val="0"/>
              <w:snapToGrid w:val="0"/>
              <w:spacing w:beforeAutospacing="0" w:after="0" w:afterAutospacing="0" w:line="360" w:lineRule="auto"/>
              <w:ind w:leftChars="0"/>
              <w:jc w:val="both"/>
              <w:textAlignment w:val="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（4）中标人在中标项目发生信访举报案件、履约存在争议时，拒绝协助配合执法部门调查案件的，采购人可以取消其中标资格或解除合同，并追究其违约责任。</w:t>
            </w:r>
          </w:p>
        </w:tc>
      </w:tr>
      <w:tr w14:paraId="4B851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43294624">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1933" w:type="dxa"/>
            <w:tcMar>
              <w:left w:w="113" w:type="dxa"/>
              <w:right w:w="113" w:type="dxa"/>
            </w:tcMar>
            <w:vAlign w:val="center"/>
          </w:tcPr>
          <w:p w14:paraId="7F8E1B11">
            <w:pPr>
              <w:pageBreakBefore w:val="0"/>
              <w:widowControl w:val="0"/>
              <w:kinsoku/>
              <w:overflowPunct/>
              <w:topLinePunct w:val="0"/>
              <w:bidi w:val="0"/>
              <w:adjustRightInd w:val="0"/>
              <w:snapToGrid w:val="0"/>
              <w:spacing w:beforeAutospacing="0" w:after="0" w:afterAutospacing="0" w:line="360" w:lineRule="auto"/>
              <w:jc w:val="both"/>
              <w:textAlignment w:val="auto"/>
              <w:rPr>
                <w:rFonts w:ascii="宋体" w:hAnsi="宋体" w:eastAsia="宋体" w:cs="宋体"/>
                <w:b/>
                <w:bCs/>
                <w:color w:val="auto"/>
                <w:kern w:val="0"/>
                <w:sz w:val="24"/>
                <w:szCs w:val="24"/>
                <w:lang w:val="en-US" w:eastAsia="en-US" w:bidi="ar-SA"/>
              </w:rPr>
            </w:pPr>
            <w:r>
              <w:rPr>
                <w:rFonts w:ascii="宋体" w:hAnsi="宋体" w:eastAsia="宋体" w:cs="宋体"/>
                <w:b w:val="0"/>
                <w:bCs w:val="0"/>
                <w:color w:val="auto"/>
                <w:kern w:val="0"/>
                <w:sz w:val="24"/>
                <w:szCs w:val="24"/>
                <w:lang w:val="en-US" w:eastAsia="en-US" w:bidi="ar-SA"/>
              </w:rPr>
              <w:t>解释权</w:t>
            </w:r>
          </w:p>
        </w:tc>
        <w:tc>
          <w:tcPr>
            <w:tcW w:w="6178" w:type="dxa"/>
            <w:tcMar>
              <w:left w:w="113" w:type="dxa"/>
              <w:right w:w="113" w:type="dxa"/>
            </w:tcMar>
            <w:vAlign w:val="center"/>
          </w:tcPr>
          <w:p w14:paraId="49A513A5">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（1）</w:t>
            </w:r>
            <w:r>
              <w:rPr>
                <w:rFonts w:ascii="宋体" w:hAnsi="宋体" w:eastAsia="宋体" w:cs="宋体"/>
                <w:bCs/>
                <w:color w:val="auto"/>
                <w:kern w:val="0"/>
                <w:sz w:val="24"/>
                <w:szCs w:val="24"/>
                <w:highlight w:val="none"/>
                <w:lang w:eastAsia="en-US"/>
              </w:rPr>
              <w:t>构成本招标文件的各个组成文件应互为解释，互为说明；</w:t>
            </w:r>
          </w:p>
          <w:p w14:paraId="26084A9C">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（2）</w:t>
            </w:r>
            <w:r>
              <w:rPr>
                <w:rFonts w:ascii="宋体" w:hAnsi="宋体" w:eastAsia="宋体" w:cs="宋体"/>
                <w:bCs/>
                <w:color w:val="auto"/>
                <w:kern w:val="0"/>
                <w:sz w:val="24"/>
                <w:szCs w:val="24"/>
                <w:highlight w:val="none"/>
                <w:lang w:eastAsia="en-US"/>
              </w:rPr>
              <w:t>同一组成文件中就同一事项的规定或约定不一致的，以编排顺序在后者为准；</w:t>
            </w:r>
          </w:p>
          <w:p w14:paraId="3394EE2A">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（3）</w:t>
            </w:r>
            <w:r>
              <w:rPr>
                <w:rFonts w:ascii="宋体" w:hAnsi="宋体" w:eastAsia="宋体" w:cs="宋体"/>
                <w:bCs/>
                <w:color w:val="auto"/>
                <w:kern w:val="0"/>
                <w:sz w:val="24"/>
                <w:szCs w:val="24"/>
                <w:highlight w:val="none"/>
                <w:lang w:eastAsia="en-US"/>
              </w:rPr>
              <w:t>如有不明确或不一致，构成合同文件组成内容的，以合同文件约定内容为准，且以专用合同条款约定的合同文件优先顺序解释；</w:t>
            </w:r>
          </w:p>
          <w:p w14:paraId="69132256">
            <w:pPr>
              <w:pageBreakBefore w:val="0"/>
              <w:kinsoku/>
              <w:overflowPunct/>
              <w:topLinePunct w:val="0"/>
              <w:bidi w:val="0"/>
              <w:adjustRightInd w:val="0"/>
              <w:snapToGrid w:val="0"/>
              <w:spacing w:after="0" w:line="360" w:lineRule="auto"/>
              <w:jc w:val="left"/>
              <w:textAlignment w:val="auto"/>
              <w:rPr>
                <w:rFonts w:ascii="宋体" w:hAnsi="宋体" w:eastAsia="宋体" w:cs="宋体"/>
                <w:bCs/>
                <w:color w:val="auto"/>
                <w:kern w:val="0"/>
                <w:sz w:val="24"/>
                <w:szCs w:val="24"/>
                <w:highlight w:val="none"/>
                <w:lang w:eastAsia="en-US"/>
              </w:rPr>
            </w:pPr>
            <w:r>
              <w:rPr>
                <w:rFonts w:hint="eastAsia" w:ascii="宋体" w:hAnsi="宋体" w:eastAsia="宋体" w:cs="宋体"/>
                <w:bCs/>
                <w:color w:val="auto"/>
                <w:kern w:val="0"/>
                <w:sz w:val="24"/>
                <w:szCs w:val="24"/>
                <w:highlight w:val="none"/>
                <w:lang w:eastAsia="en-US"/>
              </w:rPr>
              <w:t>（4）</w:t>
            </w:r>
            <w:r>
              <w:rPr>
                <w:rFonts w:ascii="宋体" w:hAnsi="宋体" w:eastAsia="宋体" w:cs="宋体"/>
                <w:bCs/>
                <w:color w:val="auto"/>
                <w:kern w:val="0"/>
                <w:sz w:val="24"/>
                <w:szCs w:val="24"/>
                <w:highlight w:val="none"/>
                <w:lang w:eastAsia="en-US"/>
              </w:rPr>
              <w:t>除招标文件中有特别规定外，仅适用于招标投标阶段的规定，按招标公告</w:t>
            </w:r>
            <w:r>
              <w:rPr>
                <w:rFonts w:hint="eastAsia" w:ascii="宋体" w:hAnsi="宋体" w:eastAsia="宋体" w:cs="宋体"/>
                <w:bCs/>
                <w:color w:val="auto"/>
                <w:kern w:val="0"/>
                <w:sz w:val="24"/>
                <w:szCs w:val="24"/>
                <w:highlight w:val="none"/>
                <w:lang w:eastAsia="en-US"/>
              </w:rPr>
              <w:t>、</w:t>
            </w:r>
            <w:r>
              <w:rPr>
                <w:rFonts w:ascii="宋体" w:hAnsi="宋体" w:eastAsia="宋体" w:cs="宋体"/>
                <w:bCs/>
                <w:color w:val="auto"/>
                <w:kern w:val="0"/>
                <w:sz w:val="24"/>
                <w:szCs w:val="24"/>
                <w:highlight w:val="none"/>
                <w:lang w:eastAsia="en-US"/>
              </w:rPr>
              <w:t>投标人须知、评标</w:t>
            </w:r>
            <w:r>
              <w:rPr>
                <w:rFonts w:hint="eastAsia" w:ascii="宋体" w:hAnsi="宋体" w:eastAsia="宋体" w:cs="宋体"/>
                <w:bCs/>
                <w:color w:val="auto"/>
                <w:kern w:val="0"/>
                <w:sz w:val="24"/>
                <w:szCs w:val="24"/>
                <w:highlight w:val="none"/>
                <w:lang w:eastAsia="en-US"/>
              </w:rPr>
              <w:t>方</w:t>
            </w:r>
            <w:r>
              <w:rPr>
                <w:rFonts w:ascii="宋体" w:hAnsi="宋体" w:eastAsia="宋体" w:cs="宋体"/>
                <w:bCs/>
                <w:color w:val="auto"/>
                <w:kern w:val="0"/>
                <w:sz w:val="24"/>
                <w:szCs w:val="24"/>
                <w:highlight w:val="none"/>
                <w:lang w:eastAsia="en-US"/>
              </w:rPr>
              <w:t>法</w:t>
            </w:r>
            <w:r>
              <w:rPr>
                <w:rFonts w:hint="eastAsia" w:ascii="宋体" w:hAnsi="宋体" w:eastAsia="宋体" w:cs="宋体"/>
                <w:bCs/>
                <w:color w:val="auto"/>
                <w:kern w:val="0"/>
                <w:sz w:val="24"/>
                <w:szCs w:val="24"/>
                <w:highlight w:val="none"/>
                <w:lang w:eastAsia="en-US"/>
              </w:rPr>
              <w:t>和标准</w:t>
            </w:r>
            <w:r>
              <w:rPr>
                <w:rFonts w:ascii="宋体" w:hAnsi="宋体" w:eastAsia="宋体" w:cs="宋体"/>
                <w:bCs/>
                <w:color w:val="auto"/>
                <w:kern w:val="0"/>
                <w:sz w:val="24"/>
                <w:szCs w:val="24"/>
                <w:highlight w:val="none"/>
                <w:lang w:eastAsia="en-US"/>
              </w:rPr>
              <w:t>、投标文件格式的先后顺序解释；</w:t>
            </w:r>
          </w:p>
          <w:p w14:paraId="454195DE">
            <w:pPr>
              <w:pageBreakBefore w:val="0"/>
              <w:widowControl w:val="0"/>
              <w:numPr>
                <w:ilvl w:val="0"/>
                <w:numId w:val="0"/>
              </w:numPr>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05874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64958918">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w:t>
            </w:r>
          </w:p>
        </w:tc>
        <w:tc>
          <w:tcPr>
            <w:tcW w:w="1933" w:type="dxa"/>
            <w:tcMar>
              <w:left w:w="113" w:type="dxa"/>
              <w:right w:w="113" w:type="dxa"/>
            </w:tcMar>
            <w:vAlign w:val="center"/>
          </w:tcPr>
          <w:p w14:paraId="03B8C8CA">
            <w:pPr>
              <w:pageBreakBefore w:val="0"/>
              <w:widowControl w:val="0"/>
              <w:kinsoku/>
              <w:overflowPunct/>
              <w:topLinePunct w:val="0"/>
              <w:bidi w:val="0"/>
              <w:adjustRightInd w:val="0"/>
              <w:snapToGrid w:val="0"/>
              <w:spacing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ascii="宋体" w:hAnsi="宋体" w:eastAsia="宋体" w:cs="宋体"/>
                <w:b w:val="0"/>
                <w:bCs w:val="0"/>
                <w:color w:val="auto"/>
                <w:kern w:val="0"/>
                <w:sz w:val="24"/>
                <w:szCs w:val="24"/>
                <w:highlight w:val="none"/>
                <w:lang w:val="en-US" w:eastAsia="en-US" w:bidi="ar-SA"/>
              </w:rPr>
              <w:t>特别提醒</w:t>
            </w:r>
          </w:p>
        </w:tc>
        <w:tc>
          <w:tcPr>
            <w:tcW w:w="6178" w:type="dxa"/>
            <w:tcMar>
              <w:left w:w="113" w:type="dxa"/>
              <w:right w:w="113" w:type="dxa"/>
            </w:tcMar>
            <w:vAlign w:val="center"/>
          </w:tcPr>
          <w:p w14:paraId="43206591">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无</w:t>
            </w:r>
          </w:p>
        </w:tc>
      </w:tr>
      <w:tr w14:paraId="025E8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0" w:hRule="atLeast"/>
        </w:trPr>
        <w:tc>
          <w:tcPr>
            <w:tcW w:w="887" w:type="dxa"/>
            <w:tcMar>
              <w:left w:w="113" w:type="dxa"/>
              <w:right w:w="113" w:type="dxa"/>
            </w:tcMar>
            <w:vAlign w:val="center"/>
          </w:tcPr>
          <w:p w14:paraId="549DDAF6">
            <w:pPr>
              <w:pageBreakBefore w:val="0"/>
              <w:widowControl w:val="0"/>
              <w:kinsoku/>
              <w:wordWrap w:val="0"/>
              <w:overflowPunct/>
              <w:topLinePunct w:val="0"/>
              <w:autoSpaceDE w:val="0"/>
              <w:autoSpaceDN w:val="0"/>
              <w:bidi w:val="0"/>
              <w:adjustRightInd w:val="0"/>
              <w:snapToGrid w:val="0"/>
              <w:spacing w:beforeAutospacing="0" w:after="0" w:afterAutospacing="0"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1933" w:type="dxa"/>
            <w:tcMar>
              <w:left w:w="113" w:type="dxa"/>
              <w:right w:w="113" w:type="dxa"/>
            </w:tcMar>
            <w:vAlign w:val="center"/>
          </w:tcPr>
          <w:p w14:paraId="230BB033">
            <w:pPr>
              <w:pageBreakBefore w:val="0"/>
              <w:widowControl w:val="0"/>
              <w:kinsoku/>
              <w:overflowPunct/>
              <w:topLinePunct w:val="0"/>
              <w:bidi w:val="0"/>
              <w:adjustRightInd w:val="0"/>
              <w:snapToGrid w:val="0"/>
              <w:spacing w:beforeAutospacing="0" w:after="0" w:afterAutospacing="0" w:line="360" w:lineRule="auto"/>
              <w:jc w:val="both"/>
              <w:textAlignment w:val="auto"/>
              <w:rPr>
                <w:rFonts w:hint="default" w:ascii="宋体" w:hAnsi="宋体" w:eastAsia="宋体" w:cs="宋体"/>
                <w:b/>
                <w:bCs/>
                <w:color w:val="auto"/>
                <w:kern w:val="0"/>
                <w:sz w:val="24"/>
                <w:szCs w:val="24"/>
                <w:highlight w:val="none"/>
                <w:lang w:val="en-US" w:eastAsia="en-US" w:bidi="ar-SA"/>
              </w:rPr>
            </w:pPr>
            <w:r>
              <w:rPr>
                <w:rFonts w:hint="eastAsia" w:ascii="宋体" w:hAnsi="宋体" w:eastAsia="宋体" w:cs="宋体"/>
                <w:b w:val="0"/>
                <w:bCs/>
                <w:color w:val="auto"/>
                <w:kern w:val="0"/>
                <w:sz w:val="24"/>
                <w:szCs w:val="28"/>
                <w:highlight w:val="none"/>
                <w:lang w:val="en-US" w:eastAsia="zh-CN" w:bidi="ar-SA"/>
              </w:rPr>
              <w:t>其他补充说明</w:t>
            </w:r>
          </w:p>
        </w:tc>
        <w:tc>
          <w:tcPr>
            <w:tcW w:w="6178" w:type="dxa"/>
            <w:tcMar>
              <w:left w:w="113" w:type="dxa"/>
              <w:right w:w="113" w:type="dxa"/>
            </w:tcMar>
            <w:vAlign w:val="center"/>
          </w:tcPr>
          <w:p w14:paraId="33DA4919">
            <w:pPr>
              <w:pageBreakBefore w:val="0"/>
              <w:widowControl w:val="0"/>
              <w:numPr>
                <w:ilvl w:val="0"/>
                <w:numId w:val="0"/>
              </w:numPr>
              <w:kinsoku/>
              <w:overflowPunct/>
              <w:topLinePunct w:val="0"/>
              <w:bidi w:val="0"/>
              <w:adjustRightInd w:val="0"/>
              <w:snapToGrid w:val="0"/>
              <w:spacing w:beforeAutospacing="0" w:after="0" w:afterAutospacing="0" w:line="360" w:lineRule="auto"/>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无</w:t>
            </w:r>
          </w:p>
        </w:tc>
      </w:tr>
    </w:tbl>
    <w:p w14:paraId="33078A75">
      <w:pPr>
        <w:pageBreakBefore w:val="0"/>
        <w:kinsoku/>
        <w:overflowPunct/>
        <w:topLinePunct w:val="0"/>
        <w:bidi w:val="0"/>
        <w:adjustRightInd w:val="0"/>
        <w:snapToGrid w:val="0"/>
        <w:spacing w:after="0" w:line="360" w:lineRule="auto"/>
        <w:textAlignment w:val="auto"/>
        <w:rPr>
          <w:rFonts w:hint="eastAsia" w:ascii="宋体" w:hAnsi="宋体" w:eastAsia="宋体" w:cs="宋体"/>
          <w:b/>
          <w:bCs/>
          <w:color w:val="auto"/>
          <w:kern w:val="2"/>
          <w:sz w:val="24"/>
          <w:szCs w:val="24"/>
          <w:lang w:val="en-US" w:eastAsia="zh-CN"/>
        </w:rPr>
      </w:pPr>
    </w:p>
    <w:p w14:paraId="7C4A7F14">
      <w:pPr>
        <w:pStyle w:val="2"/>
        <w:pageBreakBefore w:val="0"/>
        <w:kinsoku/>
        <w:overflowPunct/>
        <w:topLinePunct w:val="0"/>
        <w:bidi w:val="0"/>
        <w:adjustRightInd w:val="0"/>
        <w:snapToGrid w:val="0"/>
        <w:spacing w:before="0" w:after="0" w:line="360" w:lineRule="auto"/>
        <w:textAlignment w:val="auto"/>
        <w:rPr>
          <w:rFonts w:hint="eastAsia" w:ascii="宋体" w:hAnsi="宋体" w:eastAsia="宋体" w:cs="宋体"/>
          <w:b/>
          <w:bCs/>
          <w:color w:val="auto"/>
          <w:kern w:val="2"/>
          <w:sz w:val="24"/>
          <w:szCs w:val="24"/>
          <w:lang w:val="en-US" w:eastAsia="zh-CN"/>
        </w:rPr>
      </w:pPr>
    </w:p>
    <w:p w14:paraId="14C3E904">
      <w:pPr>
        <w:pStyle w:val="2"/>
        <w:pageBreakBefore w:val="0"/>
        <w:kinsoku/>
        <w:overflowPunct/>
        <w:topLinePunct w:val="0"/>
        <w:bidi w:val="0"/>
        <w:adjustRightInd w:val="0"/>
        <w:snapToGrid w:val="0"/>
        <w:spacing w:before="0" w:after="0" w:line="360" w:lineRule="auto"/>
        <w:textAlignment w:val="auto"/>
        <w:rPr>
          <w:rFonts w:hint="eastAsia" w:ascii="宋体" w:hAnsi="宋体" w:eastAsia="宋体" w:cs="宋体"/>
          <w:b/>
          <w:bCs/>
          <w:color w:val="auto"/>
          <w:kern w:val="2"/>
          <w:sz w:val="24"/>
          <w:szCs w:val="24"/>
          <w:lang w:val="en-US" w:eastAsia="zh-CN"/>
        </w:rPr>
      </w:pPr>
    </w:p>
    <w:p w14:paraId="4D813F3D">
      <w:pPr>
        <w:pStyle w:val="2"/>
        <w:pageBreakBefore w:val="0"/>
        <w:kinsoku/>
        <w:overflowPunct/>
        <w:topLinePunct w:val="0"/>
        <w:bidi w:val="0"/>
        <w:adjustRightInd w:val="0"/>
        <w:snapToGrid w:val="0"/>
        <w:spacing w:before="0" w:after="0" w:line="360" w:lineRule="auto"/>
        <w:textAlignment w:val="auto"/>
        <w:rPr>
          <w:rFonts w:hint="eastAsia" w:ascii="宋体" w:hAnsi="宋体" w:eastAsia="宋体" w:cs="宋体"/>
          <w:b/>
          <w:bCs/>
          <w:color w:val="auto"/>
          <w:kern w:val="2"/>
          <w:sz w:val="24"/>
          <w:szCs w:val="24"/>
          <w:lang w:val="en-US" w:eastAsia="zh-CN"/>
        </w:rPr>
      </w:pPr>
    </w:p>
    <w:p w14:paraId="78150B8A">
      <w:pPr>
        <w:pageBreakBefore w:val="0"/>
        <w:widowControl/>
        <w:kinsoku/>
        <w:wordWrap/>
        <w:overflowPunct/>
        <w:topLinePunct w:val="0"/>
        <w:bidi w:val="0"/>
        <w:adjustRightInd w:val="0"/>
        <w:snapToGrid w:val="0"/>
        <w:spacing w:beforeAutospacing="0" w:after="0" w:afterAutospacing="0" w:line="360" w:lineRule="auto"/>
        <w:ind w:right="0"/>
        <w:jc w:val="center"/>
        <w:textAlignment w:val="auto"/>
        <w:rPr>
          <w:rFonts w:hint="eastAsia" w:ascii="宋体" w:hAnsi="宋体" w:eastAsia="宋体" w:cs="宋体"/>
          <w:b/>
          <w:bCs/>
          <w:color w:val="auto"/>
          <w:kern w:val="2"/>
          <w:sz w:val="24"/>
          <w:szCs w:val="24"/>
          <w:lang w:val="en-US" w:eastAsia="zh-CN"/>
        </w:rPr>
      </w:pPr>
    </w:p>
    <w:p w14:paraId="1999B057">
      <w:pPr>
        <w:pageBreakBefore w:val="0"/>
        <w:widowControl/>
        <w:kinsoku/>
        <w:wordWrap/>
        <w:overflowPunct/>
        <w:topLinePunct w:val="0"/>
        <w:bidi w:val="0"/>
        <w:adjustRightInd w:val="0"/>
        <w:snapToGrid w:val="0"/>
        <w:spacing w:beforeAutospacing="0" w:after="0" w:afterAutospacing="0" w:line="360" w:lineRule="auto"/>
        <w:ind w:right="0"/>
        <w:jc w:val="center"/>
        <w:textAlignment w:val="auto"/>
        <w:rPr>
          <w:rFonts w:hint="default"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投标人须知正文</w:t>
      </w:r>
    </w:p>
    <w:p w14:paraId="2437FF29">
      <w:pPr>
        <w:pageBreakBefore w:val="0"/>
        <w:widowControl w:val="0"/>
        <w:kinsoku/>
        <w:wordWrap/>
        <w:overflowPunct/>
        <w:topLinePunct w:val="0"/>
        <w:bidi w:val="0"/>
        <w:adjustRightInd w:val="0"/>
        <w:snapToGrid w:val="0"/>
        <w:spacing w:beforeAutospacing="0" w:after="0" w:afterAutospacing="0" w:line="360" w:lineRule="auto"/>
        <w:ind w:right="0"/>
        <w:jc w:val="center"/>
        <w:textAlignment w:val="auto"/>
        <w:rPr>
          <w:rFonts w:hint="eastAsia" w:ascii="宋体" w:hAnsi="宋体" w:eastAsia="宋体" w:cs="宋体"/>
          <w:b/>
          <w:bCs/>
          <w:color w:val="auto"/>
          <w:kern w:val="2"/>
          <w:sz w:val="24"/>
          <w:szCs w:val="24"/>
          <w:lang w:val="en-US" w:eastAsia="zh-CN"/>
        </w:rPr>
      </w:pPr>
    </w:p>
    <w:p w14:paraId="29BF8A04">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ascii="宋体" w:hAnsi="宋体" w:eastAsia="宋体" w:cs="宋体"/>
          <w:b/>
          <w:bCs/>
          <w:color w:val="auto"/>
          <w:sz w:val="24"/>
          <w:szCs w:val="24"/>
        </w:rPr>
        <w:t>适用范围</w:t>
      </w:r>
    </w:p>
    <w:p w14:paraId="1F481E2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本招标文件仅适用于本次公开招标所述的</w:t>
      </w:r>
      <w:r>
        <w:rPr>
          <w:rFonts w:hint="eastAsia" w:ascii="宋体" w:hAnsi="宋体" w:eastAsia="宋体" w:cs="宋体"/>
          <w:color w:val="auto"/>
          <w:sz w:val="24"/>
          <w:highlight w:val="none"/>
          <w:lang w:eastAsia="zh-CN"/>
        </w:rPr>
        <w:t>服务</w:t>
      </w:r>
      <w:r>
        <w:rPr>
          <w:rFonts w:ascii="宋体" w:hAnsi="宋体" w:eastAsia="宋体" w:cs="宋体"/>
          <w:color w:val="auto"/>
          <w:sz w:val="24"/>
          <w:highlight w:val="none"/>
        </w:rPr>
        <w:t>项目采购。</w:t>
      </w:r>
    </w:p>
    <w:p w14:paraId="0CBBAE1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ascii="宋体" w:hAnsi="宋体" w:eastAsia="宋体" w:cs="宋体"/>
          <w:b/>
          <w:bCs/>
          <w:color w:val="auto"/>
          <w:sz w:val="24"/>
          <w:highlight w:val="none"/>
        </w:rPr>
        <w:t xml:space="preserve">定义 </w:t>
      </w:r>
    </w:p>
    <w:p w14:paraId="74741C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2.1 服务：系指除货物和工程以外的其他政府采购对象，包括咨询、调研、评估、规划、设计、监理、审计、保险、租赁、印刷、维修、物业管理等。</w:t>
      </w:r>
    </w:p>
    <w:p w14:paraId="43DB3D2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val="en-US" w:eastAsia="zh-CN"/>
        </w:rPr>
      </w:pPr>
      <w:r>
        <w:rPr>
          <w:rFonts w:hint="eastAsia" w:ascii="宋体" w:hAnsi="宋体" w:eastAsia="宋体" w:cs="宋体"/>
          <w:color w:val="auto"/>
          <w:sz w:val="24"/>
          <w:highlight w:val="none"/>
          <w:lang w:val="en-US" w:eastAsia="zh-CN"/>
        </w:rPr>
        <w:t>2.2 时限</w:t>
      </w:r>
      <w:r>
        <w:rPr>
          <w:rFonts w:ascii="宋体" w:hAnsi="宋体" w:eastAsia="宋体" w:cs="宋体"/>
          <w:color w:val="auto"/>
          <w:sz w:val="24"/>
          <w:szCs w:val="24"/>
        </w:rPr>
        <w:t>（年份、月份等）计算：系指从开标之日向前追溯X 年/月（“X”为“一”及以后整数）起算。</w:t>
      </w:r>
    </w:p>
    <w:p w14:paraId="51DD1E8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cs="宋体"/>
          <w:b/>
          <w:bCs/>
          <w:color w:val="auto"/>
          <w:sz w:val="24"/>
          <w:szCs w:val="24"/>
        </w:rPr>
      </w:pPr>
      <w:r>
        <w:rPr>
          <w:rFonts w:ascii="宋体" w:hAnsi="宋体" w:eastAsia="宋体" w:cs="宋体"/>
          <w:b/>
          <w:bCs/>
          <w:color w:val="auto"/>
          <w:sz w:val="24"/>
          <w:szCs w:val="24"/>
        </w:rPr>
        <w:t xml:space="preserve">3.采购人、采购代理机构及投标人 </w:t>
      </w:r>
    </w:p>
    <w:p w14:paraId="3D8721C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strike w:val="0"/>
          <w:dstrike w:val="0"/>
          <w:color w:val="auto"/>
          <w:sz w:val="24"/>
          <w:szCs w:val="24"/>
        </w:rPr>
      </w:pPr>
      <w:r>
        <w:rPr>
          <w:rFonts w:ascii="宋体" w:hAnsi="宋体" w:eastAsia="宋体" w:cs="宋体"/>
          <w:color w:val="auto"/>
          <w:sz w:val="24"/>
          <w:szCs w:val="24"/>
        </w:rPr>
        <w:t>3.1 采购人：是指依法开展政府采购活动的国家机关、事业单位、团体组织。</w:t>
      </w:r>
    </w:p>
    <w:p w14:paraId="779D56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strike w:val="0"/>
          <w:dstrike w:val="0"/>
          <w:color w:val="auto"/>
          <w:sz w:val="24"/>
          <w:szCs w:val="24"/>
        </w:rPr>
      </w:pPr>
      <w:r>
        <w:rPr>
          <w:rFonts w:ascii="宋体" w:hAnsi="宋体" w:eastAsia="宋体" w:cs="宋体"/>
          <w:color w:val="auto"/>
          <w:sz w:val="24"/>
          <w:szCs w:val="24"/>
        </w:rPr>
        <w:t>3.2 采购代理机构：是指集中采购机构或从事采购代理业务的社会中介机构。</w:t>
      </w:r>
    </w:p>
    <w:p w14:paraId="2340B36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3.3 投标人：是指向采购人提供货物、工程或者服务的法人、非法人组织或者自然人。分支机构不得参加政府采购活动，但银行、保险、石油石化、电力、电信等特殊行业除外。本项目的</w:t>
      </w:r>
      <w:r>
        <w:rPr>
          <w:rFonts w:ascii="宋体" w:hAnsi="宋体" w:eastAsia="宋体" w:cs="宋体"/>
          <w:color w:val="auto"/>
          <w:sz w:val="24"/>
          <w:szCs w:val="24"/>
          <w:highlight w:val="none"/>
        </w:rPr>
        <w:t>投标人须满足以下条件：</w:t>
      </w:r>
    </w:p>
    <w:p w14:paraId="73505A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3.4.1 在中华人民共和国境内注册，能够独立承担民事责任，有生产或供应能力的供应商。</w:t>
      </w:r>
    </w:p>
    <w:p w14:paraId="163A40A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3.4.2 具备《中华人民共和国政府采购法》第二十二条关于供应商条件的规定，遵守本项目采购人本级和上级</w:t>
      </w:r>
      <w:r>
        <w:rPr>
          <w:rFonts w:hint="eastAsia" w:ascii="宋体" w:hAnsi="宋体" w:eastAsia="宋体" w:cs="宋体"/>
          <w:color w:val="auto"/>
          <w:sz w:val="24"/>
          <w:szCs w:val="24"/>
        </w:rPr>
        <w:t>政府采购监督管理</w:t>
      </w:r>
      <w:r>
        <w:rPr>
          <w:rFonts w:ascii="宋体" w:hAnsi="宋体" w:eastAsia="宋体" w:cs="宋体"/>
          <w:color w:val="auto"/>
          <w:sz w:val="24"/>
          <w:szCs w:val="24"/>
        </w:rPr>
        <w:t>部门政府采购的有关规定。</w:t>
      </w:r>
    </w:p>
    <w:p w14:paraId="3ACF249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3.4.3 以采购代理机构认可的方式获得了本项目的招标文件。</w:t>
      </w:r>
    </w:p>
    <w:p w14:paraId="6629A1A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3.4.4 若采购需求中写明允许采购进口产品，投标人应保证所投产品可履行合法报通关手续进入中国关境内。若采购需求中未写明允许采购进口产品，如投标人所投产品为进口产品，其投标将被认定为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05856F10">
      <w:pPr>
        <w:pStyle w:val="2"/>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480" w:firstLineChars="200"/>
        <w:textAlignment w:val="auto"/>
        <w:rPr>
          <w:rFonts w:ascii="宋体" w:hAnsi="宋体" w:eastAsia="宋体" w:cs="宋体"/>
          <w:color w:val="auto"/>
          <w:sz w:val="24"/>
          <w:szCs w:val="24"/>
          <w:lang w:val="en-US" w:eastAsia="en-US" w:bidi="ar-SA"/>
        </w:rPr>
      </w:pPr>
      <w:r>
        <w:rPr>
          <w:rFonts w:ascii="宋体" w:hAnsi="宋体" w:eastAsia="宋体" w:cs="宋体"/>
          <w:color w:val="auto"/>
          <w:sz w:val="24"/>
          <w:szCs w:val="24"/>
        </w:rPr>
        <w:t>3.4.5</w:t>
      </w:r>
      <w:r>
        <w:rPr>
          <w:rFonts w:ascii="宋体" w:hAnsi="宋体" w:eastAsia="宋体" w:cs="宋体"/>
          <w:color w:val="auto"/>
          <w:sz w:val="24"/>
          <w:szCs w:val="24"/>
          <w:lang w:val="en-US" w:eastAsia="en-US" w:bidi="ar-SA"/>
        </w:rPr>
        <w:t>若</w:t>
      </w:r>
      <w:r>
        <w:rPr>
          <w:rFonts w:ascii="宋体" w:hAnsi="宋体" w:eastAsia="宋体" w:cs="宋体"/>
          <w:color w:val="auto"/>
          <w:sz w:val="24"/>
          <w:szCs w:val="24"/>
          <w:u w:val="none"/>
          <w:lang w:val="en-US" w:eastAsia="en-US" w:bidi="ar-SA"/>
        </w:rPr>
        <w:t>投标</w:t>
      </w:r>
      <w:r>
        <w:rPr>
          <w:rFonts w:hint="eastAsia" w:ascii="宋体" w:hAnsi="宋体" w:eastAsia="宋体" w:cs="宋体"/>
          <w:color w:val="auto"/>
          <w:sz w:val="24"/>
          <w:szCs w:val="24"/>
          <w:u w:val="none"/>
          <w:lang w:val="en-US" w:eastAsia="zh-CN" w:bidi="ar-SA"/>
        </w:rPr>
        <w:t>邀请</w:t>
      </w:r>
      <w:r>
        <w:rPr>
          <w:rFonts w:ascii="宋体" w:hAnsi="宋体" w:eastAsia="宋体" w:cs="宋体"/>
          <w:color w:val="auto"/>
          <w:sz w:val="24"/>
          <w:szCs w:val="24"/>
          <w:lang w:val="en-US" w:eastAsia="en-US" w:bidi="ar-SA"/>
        </w:rPr>
        <w:t>中写明专门面向中小企业采购的，如投标人提供的服务非中小企业承接的，其投标将被认定为</w:t>
      </w:r>
      <w:r>
        <w:rPr>
          <w:rFonts w:ascii="宋体" w:hAnsi="宋体" w:eastAsia="宋体" w:cs="宋体"/>
          <w:b/>
          <w:bCs/>
          <w:color w:val="auto"/>
          <w:sz w:val="24"/>
          <w:szCs w:val="24"/>
          <w:lang w:val="en-US" w:eastAsia="en-US" w:bidi="ar-SA"/>
        </w:rPr>
        <w:t>投标无效</w:t>
      </w:r>
      <w:r>
        <w:rPr>
          <w:rFonts w:ascii="宋体" w:hAnsi="宋体" w:eastAsia="宋体" w:cs="宋体"/>
          <w:color w:val="auto"/>
          <w:sz w:val="24"/>
          <w:szCs w:val="24"/>
          <w:lang w:val="en-US" w:eastAsia="en-US" w:bidi="ar-SA"/>
        </w:rPr>
        <w:t>。</w:t>
      </w:r>
    </w:p>
    <w:p w14:paraId="102D9B3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 若招标公告中允许联合体投标，对联合体规定如下：</w:t>
      </w:r>
    </w:p>
    <w:p w14:paraId="39CE364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3.5.1 两个以上供应商可以组成一个投标联合体，以一个投标人的身份投标。</w:t>
      </w:r>
    </w:p>
    <w:p w14:paraId="5B58869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eastAsia="zh-CN"/>
        </w:rPr>
      </w:pPr>
      <w:r>
        <w:rPr>
          <w:rFonts w:ascii="宋体" w:hAnsi="宋体" w:eastAsia="宋体" w:cs="宋体"/>
          <w:color w:val="auto"/>
          <w:sz w:val="24"/>
          <w:szCs w:val="24"/>
        </w:rPr>
        <w:t>3.5.2 联合体各方均应符合《中华人民共和国政府采购法》第二十二条规定的条件</w:t>
      </w:r>
      <w:r>
        <w:rPr>
          <w:rFonts w:hint="eastAsia" w:ascii="宋体" w:hAnsi="宋体" w:eastAsia="宋体" w:cs="宋体"/>
          <w:color w:val="auto"/>
          <w:sz w:val="24"/>
          <w:szCs w:val="24"/>
          <w:lang w:eastAsia="zh-CN"/>
        </w:rPr>
        <w:t>。</w:t>
      </w:r>
    </w:p>
    <w:p w14:paraId="7300704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 xml:space="preserve">3.5.3 采购人根据采购项目对投标人的特殊要求，联合体中至少应当有一方符合相关规定。 </w:t>
      </w:r>
    </w:p>
    <w:p w14:paraId="0431918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 xml:space="preserve">3.5.4 联合体各方应签订联合协议，明确约定联合体各方承担的工作和相应的责任，并将联合协议作为投标文件的一部分提交。 </w:t>
      </w:r>
    </w:p>
    <w:p w14:paraId="3B05E57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3.5.5 大中型企业、其他自然人、法人或者非法人组织与小型、微型企业组成联合体共同参加投标，联合协议中应写明小型、微型企业的协议合同金额占到联合协议投标总金额的比例。</w:t>
      </w:r>
    </w:p>
    <w:p w14:paraId="3CF66C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3.5.6 联合体中有同类资质的供应商按照联合体分工承担相同工作的，应当按照资质等级较低的供应商确定资质等级。</w:t>
      </w:r>
    </w:p>
    <w:p w14:paraId="1F51691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3.5.7 以联合体形式参加政府采购活动的，联合体各方不得再单独参加或者与其他供应商另外组成联合体参加本项目投标，否则相关投标将被认定为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1E9CDA4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3.5.8 对联合体投标的其他资格要求见投标人资格。</w:t>
      </w:r>
    </w:p>
    <w:p w14:paraId="366212B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3.6 单位负责人为同一人或者存在直接控股、管理关系的不同供应商，不得参加同一合同项下的政府采购活动。否则其投标将被认定为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30AB920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s="宋体"/>
          <w:color w:val="auto"/>
          <w:sz w:val="24"/>
          <w:szCs w:val="24"/>
        </w:rPr>
      </w:pPr>
      <w:r>
        <w:rPr>
          <w:rFonts w:ascii="宋体" w:hAnsi="宋体" w:eastAsia="宋体" w:cs="宋体"/>
          <w:color w:val="auto"/>
          <w:sz w:val="24"/>
          <w:szCs w:val="24"/>
        </w:rPr>
        <w:t>3.7 为本项目提供过整体设计、规范编制或者项目管理、监理、检测等服务的供应商，不得再参加本项目上述服务以外的其他采购活动。否则其投标将被认定为</w:t>
      </w:r>
      <w:r>
        <w:rPr>
          <w:rFonts w:ascii="宋体" w:hAnsi="宋体" w:eastAsia="宋体" w:cs="宋体"/>
          <w:b/>
          <w:bCs/>
          <w:color w:val="auto"/>
          <w:sz w:val="24"/>
          <w:szCs w:val="24"/>
        </w:rPr>
        <w:t>投标无效</w:t>
      </w:r>
      <w:r>
        <w:rPr>
          <w:rFonts w:ascii="宋体" w:hAnsi="宋体" w:eastAsia="宋体" w:cs="宋体"/>
          <w:color w:val="auto"/>
          <w:sz w:val="24"/>
          <w:szCs w:val="24"/>
        </w:rPr>
        <w:t>。</w:t>
      </w:r>
    </w:p>
    <w:p w14:paraId="751D9775">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4.资金落实情况</w:t>
      </w:r>
    </w:p>
    <w:p w14:paraId="469E5BF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4.1 本项目的采购人已获得足以支付本次招标后所签订的合同项下的资金。</w:t>
      </w:r>
    </w:p>
    <w:p w14:paraId="7EF5E5A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4.2 项目预算金额和分项（或分包）最高限价见</w:t>
      </w:r>
      <w:r>
        <w:rPr>
          <w:rFonts w:hint="eastAsia" w:ascii="宋体" w:hAnsi="宋体" w:eastAsia="宋体" w:cs="宋体"/>
          <w:color w:val="auto"/>
          <w:sz w:val="24"/>
          <w:szCs w:val="24"/>
          <w:u w:val="single"/>
          <w:lang w:val="en-US" w:eastAsia="zh-CN"/>
        </w:rPr>
        <w:t>招标公告</w:t>
      </w:r>
      <w:r>
        <w:rPr>
          <w:rFonts w:hint="eastAsia" w:ascii="宋体" w:hAnsi="宋体" w:eastAsia="宋体" w:cs="宋体"/>
          <w:color w:val="auto"/>
          <w:sz w:val="24"/>
          <w:szCs w:val="24"/>
          <w:lang w:val="en-US" w:eastAsia="en-US"/>
        </w:rPr>
        <w:t>。</w:t>
      </w:r>
    </w:p>
    <w:p w14:paraId="30F1E00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5.投标费用</w:t>
      </w:r>
    </w:p>
    <w:p w14:paraId="1EB1687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7FB69D4">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6.适用法律</w:t>
      </w:r>
    </w:p>
    <w:p w14:paraId="562FD36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本项目本级和上级政府采购监督管理部门的政府采购有关规定的约束，其权利受到上述法律法规的保护。</w:t>
      </w:r>
    </w:p>
    <w:p w14:paraId="40B8CAE7">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7.招标文件构成</w:t>
      </w:r>
    </w:p>
    <w:p w14:paraId="5BD29BA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.1招标文件包括下列内容：</w:t>
      </w:r>
    </w:p>
    <w:p w14:paraId="5B364A0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olor w:val="auto"/>
          <w:sz w:val="24"/>
          <w:highlight w:val="none"/>
          <w:lang w:eastAsia="zh-CN"/>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w:t>
      </w:r>
      <w:r>
        <w:rPr>
          <w:rFonts w:hint="eastAsia" w:ascii="宋体" w:hAnsi="宋体" w:eastAsia="宋体"/>
          <w:color w:val="auto"/>
          <w:sz w:val="24"/>
          <w:highlight w:val="none"/>
          <w:lang w:val="en-US" w:eastAsia="zh-CN"/>
        </w:rPr>
        <w:t>招标公告</w:t>
      </w:r>
    </w:p>
    <w:p w14:paraId="11356F4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CD5EF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1552FAD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E09E9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3CED465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58FC64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ascii="宋体" w:hAnsi="宋体" w:eastAsia="宋体"/>
          <w:color w:val="auto"/>
          <w:sz w:val="24"/>
          <w:highlight w:val="none"/>
        </w:rPr>
      </w:pPr>
      <w:r>
        <w:rPr>
          <w:rFonts w:hint="eastAsia" w:ascii="宋体" w:hAnsi="宋体" w:eastAsia="宋体"/>
          <w:color w:val="auto"/>
          <w:sz w:val="24"/>
          <w:highlight w:val="none"/>
        </w:rPr>
        <w:t>第</w:t>
      </w:r>
      <w:r>
        <w:rPr>
          <w:rFonts w:hint="eastAsia" w:ascii="宋体" w:hAnsi="宋体" w:eastAsia="宋体"/>
          <w:color w:val="auto"/>
          <w:sz w:val="24"/>
          <w:highlight w:val="none"/>
          <w:lang w:val="en-US" w:eastAsia="zh-CN"/>
        </w:rPr>
        <w:t>七</w:t>
      </w:r>
      <w:r>
        <w:rPr>
          <w:rFonts w:hint="eastAsia" w:ascii="宋体" w:hAnsi="宋体" w:eastAsia="宋体"/>
          <w:color w:val="auto"/>
          <w:sz w:val="24"/>
          <w:highlight w:val="none"/>
        </w:rPr>
        <w:t xml:space="preserve">章  </w:t>
      </w:r>
      <w:r>
        <w:rPr>
          <w:rFonts w:ascii="宋体" w:hAnsi="宋体" w:eastAsia="宋体" w:cs="宋体"/>
          <w:color w:val="auto"/>
          <w:sz w:val="24"/>
          <w:highlight w:val="none"/>
        </w:rPr>
        <w:t>政府采购</w:t>
      </w:r>
      <w:r>
        <w:rPr>
          <w:rFonts w:hint="eastAsia" w:ascii="宋体" w:hAnsi="宋体" w:eastAsia="宋体" w:cs="宋体"/>
          <w:color w:val="auto"/>
          <w:sz w:val="24"/>
          <w:highlight w:val="none"/>
        </w:rPr>
        <w:t>询问函</w:t>
      </w:r>
      <w:r>
        <w:rPr>
          <w:rFonts w:hint="eastAsia" w:ascii="宋体" w:hAnsi="宋体" w:eastAsia="宋体"/>
          <w:color w:val="auto"/>
          <w:sz w:val="24"/>
          <w:highlight w:val="none"/>
        </w:rPr>
        <w:t>和</w:t>
      </w:r>
      <w:r>
        <w:rPr>
          <w:rFonts w:ascii="宋体" w:hAnsi="宋体" w:eastAsia="宋体"/>
          <w:color w:val="auto"/>
          <w:sz w:val="24"/>
          <w:highlight w:val="none"/>
        </w:rPr>
        <w:t>质疑函范本</w:t>
      </w:r>
    </w:p>
    <w:p w14:paraId="4977833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7.2 招标文件中有不一致的，有澄清的部分以最终的澄清更正内容为准。</w:t>
      </w:r>
    </w:p>
    <w:p w14:paraId="52311A2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7.3 现场考察及相关事项见</w:t>
      </w:r>
      <w:r>
        <w:rPr>
          <w:rFonts w:ascii="宋体" w:hAnsi="宋体" w:eastAsia="宋体" w:cs="宋体"/>
          <w:color w:val="auto"/>
          <w:sz w:val="24"/>
          <w:highlight w:val="none"/>
          <w:u w:val="single"/>
        </w:rPr>
        <w:t>投标人须知前附表</w:t>
      </w:r>
      <w:r>
        <w:rPr>
          <w:rFonts w:ascii="宋体" w:hAnsi="宋体" w:eastAsia="宋体" w:cs="宋体"/>
          <w:color w:val="auto"/>
          <w:sz w:val="24"/>
          <w:highlight w:val="none"/>
        </w:rPr>
        <w:t xml:space="preserve">。 </w:t>
      </w:r>
    </w:p>
    <w:p w14:paraId="04A32D8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lang w:val="en-US" w:eastAsia="zh-CN"/>
        </w:rPr>
        <w:t xml:space="preserve">4 </w:t>
      </w:r>
      <w:r>
        <w:rPr>
          <w:rFonts w:ascii="宋体" w:hAnsi="宋体" w:eastAsia="宋体" w:cs="宋体"/>
          <w:color w:val="auto"/>
          <w:sz w:val="24"/>
          <w:highlight w:val="none"/>
        </w:rPr>
        <w:t>投标人应认真阅读招标文件所有的事项、格式、条款和技术规范等。</w:t>
      </w:r>
    </w:p>
    <w:p w14:paraId="0908CC0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8.招标文件的澄清与修改</w:t>
      </w:r>
    </w:p>
    <w:p w14:paraId="4DE821B2">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right="0"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lang w:eastAsia="zh-CN"/>
        </w:rPr>
        <w:t>根据</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ascii="宋体" w:hAnsi="宋体" w:eastAsia="宋体" w:cs="宋体"/>
          <w:color w:val="auto"/>
          <w:sz w:val="24"/>
          <w:szCs w:val="24"/>
          <w:highlight w:val="none"/>
          <w:lang w:val="en-US" w:eastAsia="en-US" w:bidi="ar-SA"/>
        </w:rPr>
        <w:t>截止时</w:t>
      </w:r>
      <w:r>
        <w:rPr>
          <w:rFonts w:ascii="宋体" w:hAnsi="宋体" w:eastAsia="宋体"/>
          <w:color w:val="auto"/>
          <w:sz w:val="24"/>
          <w:highlight w:val="none"/>
          <w:lang w:val="en-US" w:eastAsia="en-US"/>
        </w:rPr>
        <w:t>间前</w:t>
      </w:r>
      <w:r>
        <w:rPr>
          <w:rFonts w:hint="eastAsia" w:ascii="宋体" w:hAnsi="宋体" w:eastAsia="宋体"/>
          <w:color w:val="auto"/>
          <w:sz w:val="24"/>
          <w:highlight w:val="none"/>
          <w:lang w:val="en-US" w:eastAsia="zh-CN"/>
        </w:rPr>
        <w:t>以</w:t>
      </w:r>
      <w:r>
        <w:rPr>
          <w:rFonts w:hint="eastAsia" w:ascii="宋体" w:hAnsi="宋体" w:eastAsia="宋体"/>
          <w:color w:val="auto"/>
          <w:sz w:val="24"/>
          <w:highlight w:val="none"/>
          <w:lang w:eastAsia="zh-CN"/>
        </w:rPr>
        <w:t>书面</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提交给</w:t>
      </w:r>
      <w:r>
        <w:rPr>
          <w:rFonts w:hint="eastAsia" w:ascii="宋体" w:hAnsi="宋体" w:eastAsia="宋体"/>
          <w:color w:val="auto"/>
          <w:sz w:val="24"/>
          <w:highlight w:val="none"/>
          <w:lang w:val="en-US" w:eastAsia="zh-CN"/>
        </w:rPr>
        <w:t>采购人或</w:t>
      </w:r>
      <w:r>
        <w:rPr>
          <w:rFonts w:ascii="宋体" w:hAnsi="宋体" w:eastAsia="宋体"/>
          <w:color w:val="auto"/>
          <w:sz w:val="24"/>
          <w:highlight w:val="none"/>
        </w:rPr>
        <w:t>采购代理机构</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也可根据招标公告中的联系方式</w:t>
      </w:r>
      <w:r>
        <w:rPr>
          <w:rFonts w:hint="eastAsia" w:ascii="宋体" w:hAnsi="宋体" w:eastAsia="宋体"/>
          <w:color w:val="auto"/>
          <w:sz w:val="24"/>
          <w:highlight w:val="none"/>
          <w:lang w:eastAsia="zh-CN"/>
        </w:rPr>
        <w:t>进行电话询问</w:t>
      </w:r>
      <w:r>
        <w:rPr>
          <w:rFonts w:ascii="宋体" w:hAnsi="宋体" w:eastAsia="宋体"/>
          <w:color w:val="auto"/>
          <w:sz w:val="24"/>
          <w:highlight w:val="none"/>
        </w:rPr>
        <w:t>。</w:t>
      </w:r>
      <w:r>
        <w:rPr>
          <w:rFonts w:hint="eastAsia" w:ascii="宋体" w:hAnsi="宋体" w:eastAsia="宋体" w:cs="宋体"/>
          <w:color w:val="auto"/>
          <w:kern w:val="2"/>
          <w:sz w:val="24"/>
          <w:szCs w:val="24"/>
          <w:highlight w:val="none"/>
          <w:lang w:val="en-US" w:eastAsia="zh-CN"/>
        </w:rPr>
        <w:t>采购人或采购代理机构对供应商依法提出的询问，在3个工作日内作出答复，但答复的内容不得涉及商业秘密。</w:t>
      </w:r>
    </w:p>
    <w:p w14:paraId="75DE169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lang w:eastAsia="zh-CN"/>
        </w:rPr>
        <w:t>投标人</w:t>
      </w:r>
      <w:r>
        <w:rPr>
          <w:rFonts w:hint="eastAsia" w:ascii="宋体" w:hAnsi="宋体" w:eastAsia="宋体"/>
          <w:color w:val="auto"/>
          <w:sz w:val="24"/>
          <w:highlight w:val="none"/>
        </w:rPr>
        <w:t>提出的</w:t>
      </w:r>
      <w:r>
        <w:rPr>
          <w:rFonts w:hint="eastAsia" w:ascii="宋体" w:hAnsi="宋体" w:eastAsia="宋体"/>
          <w:color w:val="auto"/>
          <w:sz w:val="24"/>
          <w:highlight w:val="none"/>
          <w:lang w:val="en-US" w:eastAsia="zh-CN"/>
        </w:rPr>
        <w:t>问题</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w:t>
      </w:r>
      <w:r>
        <w:rPr>
          <w:rFonts w:hint="eastAsia" w:ascii="宋体" w:hAnsi="宋体" w:eastAsia="宋体"/>
          <w:color w:val="auto"/>
          <w:sz w:val="24"/>
          <w:highlight w:val="none"/>
        </w:rPr>
        <w:t>机构</w:t>
      </w:r>
      <w:r>
        <w:rPr>
          <w:rFonts w:hint="eastAsia" w:ascii="宋体" w:hAnsi="宋体" w:eastAsia="宋体" w:cs="宋体"/>
          <w:color w:val="auto"/>
          <w:sz w:val="24"/>
          <w:highlight w:val="none"/>
        </w:rPr>
        <w:t>将在</w:t>
      </w:r>
      <w:r>
        <w:rPr>
          <w:rFonts w:hint="eastAsia" w:ascii="宋体" w:hAnsi="宋体" w:eastAsia="宋体" w:cs="宋体"/>
          <w:color w:val="auto"/>
          <w:sz w:val="24"/>
          <w:highlight w:val="none"/>
          <w:lang w:val="en-US" w:eastAsia="zh-CN"/>
        </w:rPr>
        <w:t>铜陵市公共资源交易中心网</w:t>
      </w:r>
      <w:r>
        <w:rPr>
          <w:rFonts w:hint="eastAsia" w:ascii="宋体" w:hAnsi="宋体" w:eastAsia="宋体" w:cs="宋体"/>
          <w:color w:val="auto"/>
          <w:sz w:val="24"/>
          <w:highlight w:val="none"/>
        </w:rPr>
        <w:t>以</w:t>
      </w:r>
      <w:r>
        <w:rPr>
          <w:rFonts w:hint="eastAsia" w:ascii="宋体" w:hAnsi="宋体" w:eastAsia="宋体"/>
          <w:color w:val="auto"/>
          <w:sz w:val="24"/>
          <w:highlight w:val="none"/>
        </w:rPr>
        <w:t>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。投标人应主动上网查询。采购代理机构不承担投标人未及时关注相关信息引发的相关责任。</w:t>
      </w:r>
    </w:p>
    <w:p w14:paraId="6AF1D5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31D798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i/>
          <w:iCs/>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22965D3B">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9.投标范围及投标文件中标准和计量单位的使用</w:t>
      </w:r>
    </w:p>
    <w:p w14:paraId="00C4CF2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0705FF5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AFFC4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bookmarkStart w:id="2" w:name="_Hlk16458980"/>
      <w:r>
        <w:rPr>
          <w:rFonts w:hint="eastAsia" w:ascii="宋体" w:hAnsi="宋体" w:eastAsia="宋体"/>
          <w:color w:val="auto"/>
          <w:sz w:val="24"/>
          <w:highlight w:val="none"/>
          <w:lang w:val="en-US" w:eastAsia="zh-CN"/>
        </w:rPr>
        <w:t>9</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w:t>
      </w:r>
      <w:r>
        <w:rPr>
          <w:rFonts w:hint="eastAsia" w:ascii="宋体" w:hAnsi="宋体" w:eastAsia="宋体"/>
          <w:color w:val="auto"/>
          <w:sz w:val="24"/>
          <w:highlight w:val="none"/>
          <w:lang w:eastAsia="zh-CN"/>
        </w:rPr>
        <w:t>服务</w:t>
      </w:r>
      <w:r>
        <w:rPr>
          <w:rFonts w:hint="eastAsia" w:ascii="宋体" w:hAnsi="宋体" w:eastAsia="宋体"/>
          <w:color w:val="auto"/>
          <w:sz w:val="24"/>
          <w:highlight w:val="none"/>
        </w:rPr>
        <w:t>及伴随的</w:t>
      </w:r>
      <w:r>
        <w:rPr>
          <w:rFonts w:hint="eastAsia" w:ascii="宋体" w:hAnsi="宋体" w:eastAsia="宋体"/>
          <w:color w:val="auto"/>
          <w:sz w:val="24"/>
          <w:highlight w:val="none"/>
          <w:lang w:eastAsia="zh-CN"/>
        </w:rPr>
        <w:t>货物</w:t>
      </w:r>
      <w:r>
        <w:rPr>
          <w:rFonts w:hint="eastAsia" w:ascii="宋体" w:hAnsi="宋体" w:eastAsia="宋体"/>
          <w:color w:val="auto"/>
          <w:sz w:val="24"/>
          <w:highlight w:val="none"/>
        </w:rPr>
        <w:t>和工程均应符合国家强制性标准。</w:t>
      </w:r>
      <w:bookmarkEnd w:id="2"/>
    </w:p>
    <w:p w14:paraId="30E7B75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C2E5F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40EBA7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10</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5EFEB11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ascii="宋体" w:hAnsi="宋体" w:eastAsia="宋体" w:cs="宋体"/>
          <w:color w:val="auto"/>
          <w:sz w:val="24"/>
          <w:highlight w:val="none"/>
        </w:rPr>
        <w:t>.1投标人应完整地按招标文件提供的投标文件格式及要求</w:t>
      </w:r>
      <w:r>
        <w:rPr>
          <w:rFonts w:hint="eastAsia" w:ascii="宋体" w:hAnsi="宋体" w:eastAsia="宋体" w:cs="宋体"/>
          <w:color w:val="auto"/>
          <w:sz w:val="24"/>
          <w:highlight w:val="none"/>
        </w:rPr>
        <w:t>编</w:t>
      </w:r>
      <w:r>
        <w:rPr>
          <w:rFonts w:ascii="宋体" w:hAnsi="宋体" w:eastAsia="宋体" w:cs="宋体"/>
          <w:color w:val="auto"/>
          <w:sz w:val="24"/>
          <w:highlight w:val="none"/>
        </w:rPr>
        <w:t>写投标文件，</w:t>
      </w:r>
      <w:r>
        <w:rPr>
          <w:rFonts w:hint="eastAsia" w:ascii="宋体" w:hAnsi="宋体" w:eastAsia="宋体" w:cs="宋体"/>
          <w:color w:val="auto"/>
          <w:sz w:val="24"/>
          <w:highlight w:val="none"/>
        </w:rPr>
        <w:t>具体内容详见本项目</w:t>
      </w:r>
      <w:r>
        <w:rPr>
          <w:rFonts w:ascii="宋体" w:hAnsi="宋体" w:eastAsia="宋体" w:cs="宋体"/>
          <w:color w:val="auto"/>
          <w:sz w:val="24"/>
          <w:highlight w:val="none"/>
        </w:rPr>
        <w:t>第六章</w:t>
      </w:r>
      <w:r>
        <w:rPr>
          <w:rFonts w:hint="eastAsia" w:ascii="宋体" w:hAnsi="宋体" w:eastAsia="宋体" w:cs="宋体"/>
          <w:color w:val="auto"/>
          <w:sz w:val="24"/>
          <w:highlight w:val="none"/>
        </w:rPr>
        <w:t>投标文件格式的相关内容。</w:t>
      </w:r>
    </w:p>
    <w:p w14:paraId="346161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ascii="宋体" w:hAnsi="宋体" w:eastAsia="宋体" w:cs="宋体"/>
          <w:color w:val="auto"/>
          <w:sz w:val="24"/>
          <w:highlight w:val="none"/>
        </w:rPr>
        <w:t>10.2上述文件应按照招标文件规定的格式填写、签署和盖章。</w:t>
      </w:r>
    </w:p>
    <w:p w14:paraId="09A23A5C">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s="宋体"/>
          <w:b/>
          <w:bCs/>
          <w:color w:val="auto"/>
          <w:sz w:val="24"/>
          <w:highlight w:val="none"/>
        </w:rPr>
      </w:pPr>
      <w:r>
        <w:rPr>
          <w:rFonts w:ascii="宋体" w:hAnsi="宋体" w:eastAsia="宋体" w:cs="宋体"/>
          <w:b/>
          <w:bCs/>
          <w:color w:val="auto"/>
          <w:sz w:val="24"/>
          <w:highlight w:val="none"/>
        </w:rPr>
        <w:t>11.证明投标标的的合格性和符合招标文件规定的技术文件</w:t>
      </w:r>
    </w:p>
    <w:p w14:paraId="6FFB4A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 xml:space="preserve">11.1 投标人应提交招标文件要求的证明文件，证明其投标内容符合招标文件规定。该证明文件是投标文件的一部分。 </w:t>
      </w:r>
    </w:p>
    <w:p w14:paraId="63D19AE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lang w:eastAsia="zh-CN"/>
        </w:rPr>
      </w:pPr>
      <w:r>
        <w:rPr>
          <w:rFonts w:ascii="宋体" w:hAnsi="宋体" w:eastAsia="宋体" w:cs="宋体"/>
          <w:color w:val="auto"/>
          <w:sz w:val="24"/>
          <w:highlight w:val="none"/>
        </w:rPr>
        <w:t>11.2 上款所述的证明文件，可以是文字资料、图纸和数据</w:t>
      </w:r>
      <w:r>
        <w:rPr>
          <w:rFonts w:hint="eastAsia" w:ascii="宋体" w:hAnsi="宋体" w:eastAsia="宋体" w:cs="宋体"/>
          <w:color w:val="auto"/>
          <w:sz w:val="24"/>
          <w:highlight w:val="none"/>
          <w:lang w:eastAsia="zh-CN"/>
        </w:rPr>
        <w:t>。</w:t>
      </w:r>
    </w:p>
    <w:p w14:paraId="50326C4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11.3 本条所指证明文件不包括对招标文件相关部分的文字、图</w:t>
      </w:r>
      <w:r>
        <w:rPr>
          <w:rFonts w:hint="eastAsia" w:ascii="宋体" w:hAnsi="宋体" w:eastAsia="宋体" w:cs="宋体"/>
          <w:color w:val="auto"/>
          <w:sz w:val="24"/>
          <w:highlight w:val="none"/>
          <w:lang w:val="en-US" w:eastAsia="zh-CN"/>
        </w:rPr>
        <w:t>表</w:t>
      </w:r>
      <w:r>
        <w:rPr>
          <w:rFonts w:ascii="宋体" w:hAnsi="宋体" w:eastAsia="宋体" w:cs="宋体"/>
          <w:color w:val="auto"/>
          <w:sz w:val="24"/>
          <w:highlight w:val="none"/>
        </w:rPr>
        <w:t>的复制。</w:t>
      </w:r>
    </w:p>
    <w:p w14:paraId="3A53845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ascii="宋体" w:hAnsi="宋体" w:eastAsia="宋体" w:cs="宋体"/>
          <w:color w:val="auto"/>
          <w:sz w:val="24"/>
          <w:highlight w:val="none"/>
        </w:rPr>
        <w:t>11.4 为保证公平公正，除非另有规定或说明，投标人对同一项目投标时，不得同时提供备选投标方案。</w:t>
      </w:r>
    </w:p>
    <w:p w14:paraId="25629FA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12</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53AF2C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4389D9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18C5A50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12.3 投标人应在投标分项报价表上标明分项服务、伴随的货物和工程的单价（如适用）和总价，未标明的视同包含在投标报价中。</w:t>
      </w:r>
    </w:p>
    <w:p w14:paraId="78859CE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12.4投标报价在合同履行过程中是固定不变的，</w:t>
      </w:r>
      <w:r>
        <w:rPr>
          <w:rFonts w:ascii="宋体" w:hAnsi="宋体" w:eastAsia="宋体"/>
          <w:color w:val="auto"/>
          <w:sz w:val="24"/>
          <w:highlight w:val="none"/>
        </w:rPr>
        <w:t>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7BA61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12.5采购人不接受具有</w:t>
      </w:r>
      <w:r>
        <w:rPr>
          <w:rFonts w:ascii="宋体" w:hAnsi="宋体" w:eastAsia="宋体"/>
          <w:color w:val="auto"/>
          <w:sz w:val="24"/>
          <w:highlight w:val="none"/>
        </w:rPr>
        <w:t>附加条件的报价。</w:t>
      </w:r>
    </w:p>
    <w:p w14:paraId="053BA1C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C19067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.1本项目不收取投标保证金。</w:t>
      </w:r>
    </w:p>
    <w:p w14:paraId="5BFB8A7C">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B94A4A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7EE493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FC636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4A63222">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b/>
          <w:bCs/>
          <w:color w:val="auto"/>
          <w:sz w:val="24"/>
          <w:highlight w:val="none"/>
        </w:rPr>
      </w:pPr>
      <w:r>
        <w:rPr>
          <w:rFonts w:ascii="宋体" w:hAnsi="宋体" w:eastAsia="宋体"/>
          <w:b/>
          <w:bCs/>
          <w:color w:val="auto"/>
          <w:sz w:val="24"/>
          <w:highlight w:val="none"/>
        </w:rPr>
        <w:t xml:space="preserve">15.投标文件的制作 </w:t>
      </w:r>
    </w:p>
    <w:p w14:paraId="271ADAA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ascii="宋体" w:hAnsi="宋体" w:eastAsia="宋体"/>
          <w:color w:val="auto"/>
          <w:sz w:val="24"/>
          <w:highlight w:val="none"/>
        </w:rPr>
        <w:t>15.1 本项目要求提供</w:t>
      </w:r>
      <w:r>
        <w:rPr>
          <w:rFonts w:hint="eastAsia" w:ascii="宋体" w:hAnsi="宋体" w:eastAsia="宋体"/>
          <w:color w:val="auto"/>
          <w:sz w:val="24"/>
          <w:highlight w:val="none"/>
          <w:lang w:val="en-US" w:eastAsia="zh-CN"/>
        </w:rPr>
        <w:t>纸质</w:t>
      </w:r>
      <w:r>
        <w:rPr>
          <w:rFonts w:ascii="宋体" w:hAnsi="宋体" w:eastAsia="宋体"/>
          <w:color w:val="auto"/>
          <w:sz w:val="24"/>
          <w:highlight w:val="none"/>
        </w:rPr>
        <w:t>投标文件，</w:t>
      </w:r>
      <w:r>
        <w:rPr>
          <w:rFonts w:hint="eastAsia" w:ascii="宋体" w:hAnsi="宋体" w:eastAsia="宋体"/>
          <w:color w:val="auto"/>
          <w:sz w:val="24"/>
          <w:highlight w:val="none"/>
        </w:rPr>
        <w:t>投标人应准备</w:t>
      </w:r>
      <w:r>
        <w:rPr>
          <w:rFonts w:hint="eastAsia" w:ascii="宋体" w:hAnsi="宋体" w:eastAsia="宋体"/>
          <w:color w:val="auto"/>
          <w:sz w:val="24"/>
          <w:highlight w:val="none"/>
          <w:lang w:val="en-US" w:eastAsia="zh-CN"/>
        </w:rPr>
        <w:t>正、副本各一份</w:t>
      </w:r>
      <w:r>
        <w:rPr>
          <w:rFonts w:hint="eastAsia" w:ascii="宋体" w:hAnsi="宋体" w:eastAsia="宋体"/>
          <w:color w:val="auto"/>
          <w:sz w:val="24"/>
          <w:highlight w:val="none"/>
        </w:rPr>
        <w:t>的投标</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。清楚地标明“正本”或“副本”字样，若正本与副本不一致，以正本为准。</w:t>
      </w:r>
    </w:p>
    <w:p w14:paraId="0790F61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 xml:space="preserve">5.2  </w:t>
      </w:r>
      <w:r>
        <w:rPr>
          <w:rFonts w:hint="eastAsia" w:ascii="宋体" w:hAnsi="宋体" w:eastAsia="宋体"/>
          <w:color w:val="auto"/>
          <w:sz w:val="24"/>
          <w:highlight w:val="none"/>
        </w:rPr>
        <w:t>投标</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的密封和标记</w:t>
      </w:r>
    </w:p>
    <w:p w14:paraId="3626AE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　投标人应将投标书的正本和副本单独封装。封装应该严密、不易破损。封口处应盖有投标人公章或授权代表签名。</w:t>
      </w:r>
    </w:p>
    <w:p w14:paraId="59629DB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　如果所投项目分有多个包，则投标书必须以包为单位进行封装。</w:t>
      </w:r>
    </w:p>
    <w:p w14:paraId="3EAFB77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　投标书包装袋上须清楚写明项目的名称、项目编号、投标人全称及联系电话</w:t>
      </w:r>
      <w:r>
        <w:rPr>
          <w:rFonts w:hint="eastAsia" w:ascii="宋体" w:hAnsi="宋体" w:eastAsia="宋体"/>
          <w:color w:val="auto"/>
          <w:sz w:val="24"/>
          <w:highlight w:val="none"/>
          <w:lang w:eastAsia="zh-CN"/>
        </w:rPr>
        <w:t>，</w:t>
      </w:r>
    </w:p>
    <w:p w14:paraId="5BB7A72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15.6不按以上要求以无效标处理</w:t>
      </w:r>
      <w:r>
        <w:rPr>
          <w:rFonts w:hint="eastAsia" w:ascii="宋体" w:hAnsi="宋体" w:eastAsia="宋体"/>
          <w:color w:val="auto"/>
          <w:sz w:val="24"/>
          <w:highlight w:val="none"/>
        </w:rPr>
        <w:t>。</w:t>
      </w:r>
      <w:r>
        <w:rPr>
          <w:rFonts w:ascii="宋体" w:hAnsi="宋体" w:eastAsia="宋体"/>
          <w:color w:val="auto"/>
          <w:sz w:val="24"/>
          <w:highlight w:val="none"/>
        </w:rPr>
        <w:t xml:space="preserve"> </w:t>
      </w:r>
    </w:p>
    <w:p w14:paraId="4001792D">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s="宋体"/>
          <w:color w:val="auto"/>
          <w:sz w:val="24"/>
          <w:highlight w:val="none"/>
        </w:rPr>
      </w:pPr>
      <w:r>
        <w:rPr>
          <w:rFonts w:ascii="宋体" w:hAnsi="宋体" w:eastAsia="宋体" w:cs="宋体"/>
          <w:b/>
          <w:bCs/>
          <w:color w:val="auto"/>
          <w:sz w:val="24"/>
          <w:highlight w:val="none"/>
        </w:rPr>
        <w:t>16.投标截止</w:t>
      </w:r>
      <w:r>
        <w:rPr>
          <w:rFonts w:ascii="宋体" w:hAnsi="宋体" w:eastAsia="宋体" w:cs="宋体"/>
          <w:color w:val="auto"/>
          <w:sz w:val="24"/>
          <w:highlight w:val="none"/>
        </w:rPr>
        <w:t xml:space="preserve"> </w:t>
      </w:r>
    </w:p>
    <w:p w14:paraId="711A09E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color w:val="auto"/>
          <w:sz w:val="24"/>
          <w:highlight w:val="none"/>
        </w:rPr>
      </w:pPr>
      <w:r>
        <w:rPr>
          <w:rFonts w:ascii="宋体" w:hAnsi="宋体" w:eastAsia="宋体" w:cs="宋体"/>
          <w:color w:val="auto"/>
          <w:sz w:val="24"/>
          <w:highlight w:val="none"/>
        </w:rPr>
        <w:t>16.1 投标人应在</w:t>
      </w:r>
      <w:r>
        <w:rPr>
          <w:rFonts w:ascii="宋体" w:hAnsi="宋体" w:eastAsia="宋体" w:cs="宋体"/>
          <w:color w:val="auto"/>
          <w:sz w:val="24"/>
          <w:highlight w:val="none"/>
          <w:u w:val="single"/>
        </w:rPr>
        <w:t>投标人须知前附表</w:t>
      </w:r>
      <w:r>
        <w:rPr>
          <w:rFonts w:ascii="宋体" w:hAnsi="宋体" w:eastAsia="宋体" w:cs="宋体"/>
          <w:color w:val="auto"/>
          <w:sz w:val="24"/>
          <w:highlight w:val="none"/>
        </w:rPr>
        <w:t>中规定的投标截止时间前，</w:t>
      </w:r>
      <w:r>
        <w:rPr>
          <w:rFonts w:hint="eastAsia" w:ascii="宋体" w:hAnsi="宋体" w:eastAsia="宋体" w:cs="宋体"/>
          <w:color w:val="auto"/>
          <w:sz w:val="24"/>
          <w:highlight w:val="none"/>
          <w:lang w:val="en-US" w:eastAsia="zh-CN"/>
        </w:rPr>
        <w:t>现场</w:t>
      </w:r>
      <w:r>
        <w:rPr>
          <w:rFonts w:ascii="宋体" w:hAnsi="宋体" w:eastAsia="宋体" w:cs="宋体"/>
          <w:color w:val="auto"/>
          <w:sz w:val="24"/>
          <w:highlight w:val="none"/>
        </w:rPr>
        <w:t>提交投标文件。</w:t>
      </w:r>
    </w:p>
    <w:p w14:paraId="110E0D1E">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.开标</w:t>
      </w:r>
    </w:p>
    <w:p w14:paraId="340D4DC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采购人和采购代理机构将按</w:t>
      </w:r>
      <w:r>
        <w:rPr>
          <w:rFonts w:hint="eastAsia" w:ascii="宋体" w:hAnsi="宋体" w:eastAsia="宋体" w:cs="宋体"/>
          <w:color w:val="auto"/>
          <w:sz w:val="24"/>
          <w:highlight w:val="none"/>
          <w:u w:val="single"/>
          <w:lang w:val="en-US" w:eastAsia="zh-CN"/>
        </w:rPr>
        <w:t>招标公告</w:t>
      </w:r>
      <w:r>
        <w:rPr>
          <w:rFonts w:hint="eastAsia" w:ascii="宋体" w:hAnsi="宋体" w:eastAsia="宋体" w:cs="宋体"/>
          <w:color w:val="auto"/>
          <w:sz w:val="24"/>
          <w:highlight w:val="none"/>
        </w:rPr>
        <w:t>中规定的开标时间和地点组织公开开标。</w:t>
      </w:r>
    </w:p>
    <w:p w14:paraId="37FCCB1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2 </w:t>
      </w:r>
      <w:r>
        <w:rPr>
          <w:rFonts w:hint="eastAsia" w:ascii="宋体" w:hAnsi="宋体" w:eastAsia="宋体"/>
          <w:strike w:val="0"/>
          <w:dstrike w:val="0"/>
          <w:color w:val="auto"/>
          <w:sz w:val="24"/>
          <w:highlight w:val="none"/>
        </w:rPr>
        <w:t>采购人或</w:t>
      </w:r>
      <w:r>
        <w:rPr>
          <w:rFonts w:hint="eastAsia" w:ascii="宋体" w:hAnsi="宋体" w:eastAsia="宋体"/>
          <w:color w:val="auto"/>
          <w:sz w:val="24"/>
          <w:highlight w:val="none"/>
        </w:rPr>
        <w:t>采购代理机构将对开标过程进行记录，并存档备查。</w:t>
      </w:r>
    </w:p>
    <w:p w14:paraId="5583A20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 xml:space="preserve">3 </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98FF54">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资格审查及组建评标委员会</w:t>
      </w:r>
    </w:p>
    <w:p w14:paraId="06E2743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.1采购人或采购代理机构依据法律法规和招标文件中规定的内容，按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对投标人资格进行审查，未通过资格审查的投标人不进入评标。</w:t>
      </w:r>
    </w:p>
    <w:p w14:paraId="5C3240B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bookmarkStart w:id="3"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bookmarkEnd w:id="3"/>
      <w:r>
        <w:rPr>
          <w:rFonts w:hint="eastAsia" w:ascii="宋体" w:hAnsi="宋体" w:eastAsia="宋体" w:cs="宋体"/>
          <w:color w:val="auto"/>
          <w:sz w:val="24"/>
          <w:szCs w:val="24"/>
          <w:highlight w:val="none"/>
        </w:rPr>
        <w:t>截至提交投标文件截止时间，投标人存在以下不良信用记录情形之一,不得推荐为中标候选人，不得确定为中标人:</w:t>
      </w:r>
    </w:p>
    <w:p w14:paraId="56C5BC2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（1）被人民法院列入失信被执行人名单的</w:t>
      </w:r>
    </w:p>
    <w:p w14:paraId="7666436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（2）被税务机关列入重大税收违法失信主体名单的；</w:t>
      </w:r>
    </w:p>
    <w:p w14:paraId="1365397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（3）被财政部门列入政府采购严重违法失信行为记录名单的；</w:t>
      </w:r>
    </w:p>
    <w:p w14:paraId="220765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不良信用记录查询渠道如下：</w:t>
      </w:r>
    </w:p>
    <w:p w14:paraId="2BFACA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（1）失信被执行人：信用中国官网（www.creditchina.gov.cn）</w:t>
      </w:r>
    </w:p>
    <w:p w14:paraId="027F015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（2）重大税收违法案件当事人名单：信用中国官网（www.creditchina.gov.cn）</w:t>
      </w:r>
    </w:p>
    <w:p w14:paraId="133F1D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（3）政府采购严重违法失信行为记录名单：中国政府采购网官网（www.ccgp.gov.cn）</w:t>
      </w:r>
    </w:p>
    <w:p w14:paraId="68EAE17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或其他指定媒介[国家税务总局官网（www.chinatax.gov.cn）、中华人民共和国最高人民法院官网（www.court.gov.cn）、国家企业信用信息公示系统官网（www.gsxt.gov.cn）]。</w:t>
      </w:r>
    </w:p>
    <w:p w14:paraId="141D6A4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由采购人或其委托的采购代理机构在推荐中标候选人前对拟推荐的中标候选人进行查询并将查询结果截图反馈至评标委员会，由评标委员会记录在评标报告中。如在上述网站查询结果均显示没有相关记录，视为没有上述不良信用记录。如评标过程中因网络、网站的问题无法查询时，在中标公告期间由采购人代表查询并直接采用。</w:t>
      </w:r>
    </w:p>
    <w:p w14:paraId="421DDC0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.3按照《</w:t>
      </w:r>
      <w:r>
        <w:rPr>
          <w:rFonts w:ascii="宋体" w:hAnsi="宋体" w:eastAsia="宋体"/>
          <w:color w:val="auto"/>
          <w:sz w:val="24"/>
          <w:highlight w:val="none"/>
        </w:rPr>
        <w:t>中华人民共和国政府采购法》《中华人民共和国政府采购</w:t>
      </w:r>
      <w:r>
        <w:rPr>
          <w:rFonts w:hint="eastAsia" w:ascii="宋体" w:hAnsi="宋体" w:eastAsia="宋体"/>
          <w:color w:val="auto"/>
          <w:sz w:val="24"/>
          <w:highlight w:val="none"/>
        </w:rPr>
        <w:t>法</w:t>
      </w:r>
      <w:r>
        <w:rPr>
          <w:rFonts w:ascii="宋体" w:hAnsi="宋体" w:eastAsia="宋体"/>
          <w:color w:val="auto"/>
          <w:sz w:val="24"/>
          <w:highlight w:val="none"/>
        </w:rPr>
        <w:t>实施条例》</w:t>
      </w:r>
      <w:r>
        <w:rPr>
          <w:rFonts w:hint="eastAsia" w:ascii="宋体" w:hAnsi="宋体" w:eastAsia="宋体"/>
          <w:color w:val="auto"/>
          <w:sz w:val="24"/>
          <w:highlight w:val="none"/>
        </w:rPr>
        <w:t>及本项目本级</w:t>
      </w:r>
      <w:r>
        <w:rPr>
          <w:rFonts w:ascii="宋体" w:hAnsi="宋体" w:eastAsia="宋体"/>
          <w:color w:val="auto"/>
          <w:sz w:val="24"/>
          <w:highlight w:val="none"/>
        </w:rPr>
        <w:t>和上级</w:t>
      </w:r>
      <w:r>
        <w:rPr>
          <w:rFonts w:hint="eastAsia" w:ascii="宋体" w:hAnsi="宋体" w:eastAsia="宋体"/>
          <w:color w:val="auto"/>
          <w:sz w:val="24"/>
          <w:highlight w:val="none"/>
        </w:rPr>
        <w:t>政府采购监督管理部门的有关规定依法组建的</w:t>
      </w:r>
      <w:r>
        <w:rPr>
          <w:rFonts w:ascii="宋体" w:hAnsi="宋体" w:eastAsia="宋体"/>
          <w:color w:val="auto"/>
          <w:sz w:val="24"/>
          <w:highlight w:val="none"/>
        </w:rPr>
        <w:t>评标委员会</w:t>
      </w:r>
      <w:r>
        <w:rPr>
          <w:rFonts w:hint="eastAsia" w:ascii="宋体" w:hAnsi="宋体" w:eastAsia="宋体"/>
          <w:color w:val="auto"/>
          <w:sz w:val="24"/>
          <w:highlight w:val="none"/>
        </w:rPr>
        <w:t>，负责本项目评标工作。</w:t>
      </w:r>
    </w:p>
    <w:p w14:paraId="145E5B7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7801C39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30ABF33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0AC35BA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6E96ADA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.2</w:t>
      </w:r>
      <w:r>
        <w:rPr>
          <w:rFonts w:hint="eastAsia" w:ascii="宋体" w:hAnsi="宋体" w:eastAsia="宋体"/>
          <w:color w:val="auto"/>
          <w:sz w:val="24"/>
          <w:highlight w:val="none"/>
        </w:rPr>
        <w:t>投标人的澄清、说明或补正将作为投标文件的一部分。</w:t>
      </w:r>
    </w:p>
    <w:p w14:paraId="0C536F1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9D65CD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74E1845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41515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175F3E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0D40D4C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52470A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3F6FC0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59C8CB2B">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投标无效</w:t>
      </w:r>
    </w:p>
    <w:p w14:paraId="0C8EE55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lang w:eastAsia="zh-CN"/>
        </w:rPr>
        <w:t>.</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FDC27B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3BB61DD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5DB87E2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lang w:eastAsia="zh-CN"/>
        </w:rPr>
        <w:t>.</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6EA7BD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DBE4EF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390ED1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311840C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07FC972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9923987">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宋体" w:hAnsi="宋体" w:eastAsia="宋体"/>
          <w:color w:val="auto"/>
          <w:sz w:val="24"/>
          <w:highlight w:val="none"/>
          <w:lang w:val="en-US" w:eastAsia="en-US"/>
        </w:rPr>
      </w:pPr>
      <w:r>
        <w:rPr>
          <w:rFonts w:hint="eastAsia"/>
          <w:color w:val="auto"/>
          <w:sz w:val="24"/>
          <w:highlight w:val="none"/>
          <w:lang w:val="en-US" w:eastAsia="zh-CN"/>
        </w:rPr>
        <w:t xml:space="preserve"> </w:t>
      </w:r>
      <w:r>
        <w:rPr>
          <w:rFonts w:hint="eastAsia" w:ascii="宋体" w:hAnsi="宋体" w:eastAsia="宋体"/>
          <w:color w:val="auto"/>
          <w:sz w:val="24"/>
          <w:highlight w:val="none"/>
          <w:lang w:val="en-US" w:eastAsia="zh-CN"/>
        </w:rPr>
        <w:t xml:space="preserve">20.3 </w:t>
      </w:r>
      <w:r>
        <w:rPr>
          <w:rFonts w:hint="eastAsia" w:ascii="宋体" w:hAnsi="宋体" w:eastAsia="宋体"/>
          <w:color w:val="auto"/>
          <w:sz w:val="24"/>
          <w:highlight w:val="none"/>
          <w:lang w:val="en-US" w:eastAsia="en-US"/>
        </w:rPr>
        <w:t>参与同一个采购包（标段）的供应商存在下列情形之一且</w:t>
      </w:r>
      <w:bookmarkStart w:id="4" w:name="OLE_LINK9"/>
      <w:r>
        <w:rPr>
          <w:rFonts w:hint="eastAsia" w:ascii="宋体" w:hAnsi="宋体" w:eastAsia="宋体"/>
          <w:color w:val="auto"/>
          <w:sz w:val="24"/>
          <w:highlight w:val="none"/>
          <w:lang w:val="en-US" w:eastAsia="en-US"/>
        </w:rPr>
        <w:t>无法合理解释</w:t>
      </w:r>
      <w:bookmarkEnd w:id="4"/>
      <w:r>
        <w:rPr>
          <w:rFonts w:hint="eastAsia" w:ascii="宋体" w:hAnsi="宋体" w:eastAsia="宋体"/>
          <w:color w:val="auto"/>
          <w:sz w:val="24"/>
          <w:highlight w:val="none"/>
          <w:lang w:val="en-US" w:eastAsia="en-US"/>
        </w:rPr>
        <w:t>的，其</w:t>
      </w:r>
      <w:r>
        <w:rPr>
          <w:rFonts w:hint="eastAsia" w:ascii="宋体" w:hAnsi="宋体" w:eastAsia="宋体"/>
          <w:b/>
          <w:bCs/>
          <w:color w:val="auto"/>
          <w:sz w:val="24"/>
          <w:highlight w:val="none"/>
          <w:lang w:val="en-US" w:eastAsia="en-US"/>
        </w:rPr>
        <w:t>投标文件无效</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val="en-US" w:eastAsia="en-US"/>
        </w:rPr>
        <w:t>评审报告应详细记录相关情况</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val="en-US" w:eastAsia="en-US"/>
        </w:rPr>
        <w:t>评审结束后书面报告政府采购监管部门</w:t>
      </w:r>
      <w:r>
        <w:rPr>
          <w:rFonts w:hint="eastAsia" w:ascii="宋体" w:hAnsi="宋体" w:eastAsia="宋体"/>
          <w:color w:val="auto"/>
          <w:sz w:val="24"/>
          <w:highlight w:val="none"/>
          <w:lang w:val="en-US" w:eastAsia="zh-CN"/>
        </w:rPr>
        <w:t>。</w:t>
      </w:r>
    </w:p>
    <w:p w14:paraId="3855A7E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（1）投标文件若出现使用其他投标供应商的纸质或印章的，或者有其他投标供应商相关资料的；</w:t>
      </w:r>
    </w:p>
    <w:p w14:paraId="5D5ADF0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（2）不同供应商的投标文件的技术、服务方案等内容存在错误一致或3个（含）以上异常相同的；</w:t>
      </w:r>
    </w:p>
    <w:p w14:paraId="54AC7DC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（3）不同供应商在投标文件中联系人为同一人或不同联系人的联系电话一致的。</w:t>
      </w:r>
    </w:p>
    <w:p w14:paraId="5D14A9F0">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21</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比较与评价</w:t>
      </w:r>
    </w:p>
    <w:p w14:paraId="4B5BF7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1经符合性审查合格</w:t>
      </w:r>
      <w:r>
        <w:rPr>
          <w:rFonts w:hint="eastAsia" w:ascii="宋体" w:hAnsi="宋体" w:eastAsia="宋体"/>
          <w:color w:val="auto"/>
          <w:sz w:val="24"/>
          <w:highlight w:val="none"/>
          <w:lang w:val="en-US" w:eastAsia="zh-CN"/>
        </w:rPr>
        <w:t>并通过异常低价投标审查</w:t>
      </w:r>
      <w:r>
        <w:rPr>
          <w:rFonts w:hint="eastAsia" w:ascii="宋体" w:hAnsi="宋体" w:eastAsia="宋体"/>
          <w:color w:val="auto"/>
          <w:sz w:val="24"/>
          <w:highlight w:val="none"/>
        </w:rPr>
        <w:t>的投标文件，评标委员会将根据招标文件确定的评标方法和标准，对其投标文件作进一步的比较与评价。</w:t>
      </w:r>
    </w:p>
    <w:p w14:paraId="5C2E00C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2评标严格按照招标文件的要求和条件进行。根据实际情况，在</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中规定采用下列一种评标方法，详细评标方法和标准见招标文件第四章：</w:t>
      </w:r>
    </w:p>
    <w:p w14:paraId="7640D1C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E28DD1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9CC795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bCs/>
          <w:color w:val="auto"/>
          <w:sz w:val="24"/>
          <w:highlight w:val="none"/>
          <w:lang w:eastAsia="zh-CN"/>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lang w:eastAsia="zh-CN"/>
        </w:rPr>
        <w:t>.</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F96EB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C94150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45C12A9E">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firstLine="640" w:firstLineChars="20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32"/>
          <w:szCs w:val="32"/>
          <w:lang w:val="en-US" w:eastAsia="zh-CN" w:bidi="ar"/>
        </w:rPr>
        <w:t>中小微企业划分标准</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1"/>
        <w:gridCol w:w="1104"/>
        <w:gridCol w:w="1097"/>
        <w:gridCol w:w="1295"/>
        <w:gridCol w:w="1561"/>
        <w:gridCol w:w="1389"/>
        <w:gridCol w:w="965"/>
      </w:tblGrid>
      <w:tr w14:paraId="421A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B0A247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行业名称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A3C30B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指标名称</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50E7A7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计量单位</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0FDAE1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firstLine="42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大型</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B133E0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firstLine="42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中型</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323B5B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firstLine="42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小型</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BB7A68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 xml:space="preserve"> 微型</w:t>
            </w:r>
          </w:p>
        </w:tc>
      </w:tr>
      <w:tr w14:paraId="5A70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5526CD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农、林、牧、渔业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611CDC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8C5C15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91F965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Y≥20000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2EFC6E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500≤Y&lt;20000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2DD949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50≤Y&lt;500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B111C4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Y&lt;50</w:t>
            </w:r>
          </w:p>
        </w:tc>
      </w:tr>
      <w:tr w14:paraId="0ED6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1FD07C58">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工业★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C9D5D1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3C85E3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8784A0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1B4160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3EE804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B8C9FF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224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1CEFC907">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0531CF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9C8CB2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5D6909E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Y≥40000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8267E0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2000≤Y&lt;40000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4C741E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3F5DF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Y&lt;300</w:t>
            </w:r>
          </w:p>
        </w:tc>
      </w:tr>
      <w:tr w14:paraId="4C4E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92886B3">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建筑业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7BE125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C06D82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71AABB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Y≥80000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CB39D0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6000≤Y&lt;80000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D2323D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300≤Y&lt;6000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C85488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Y&lt;300</w:t>
            </w:r>
          </w:p>
        </w:tc>
      </w:tr>
      <w:tr w14:paraId="5331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24D61B41">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E9EE63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资产总额(Z)</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5529EC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349666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Z≥80000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952485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5000≤Z&lt;80000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1C1D25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300≤Z&lt;5000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6DA65C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Z&lt;300</w:t>
            </w:r>
          </w:p>
        </w:tc>
      </w:tr>
      <w:tr w14:paraId="7972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0636D066">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批发业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13147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3D26C3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2FF992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X≥200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CCF4B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20≤X&lt;200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5E726A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5≤X&lt;20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3A69B2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X&lt;5</w:t>
            </w:r>
          </w:p>
        </w:tc>
      </w:tr>
      <w:tr w14:paraId="085C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6470586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41213C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B8123A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C40579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Y≥40000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19B3DA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5000≤Y&lt;40000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168EF3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left"/>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1000≤Y&lt;5000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267DBF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Y&lt;1000</w:t>
            </w:r>
          </w:p>
        </w:tc>
      </w:tr>
      <w:tr w14:paraId="0EE5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843BC88">
            <w:pPr>
              <w:pStyle w:val="16"/>
              <w:keepNext w:val="0"/>
              <w:keepLines w:val="0"/>
              <w:pageBreakBefore w:val="0"/>
              <w:widowControl w:val="0"/>
              <w:suppressLineNumbers w:val="0"/>
              <w:kinsoku/>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18"/>
                <w:szCs w:val="18"/>
              </w:rPr>
            </w:pPr>
            <w:r>
              <w:rPr>
                <w:rFonts w:hint="eastAsia" w:ascii="宋体" w:hAnsi="宋体" w:eastAsia="宋体" w:cs="宋体"/>
                <w:color w:val="auto"/>
                <w:kern w:val="2"/>
                <w:sz w:val="18"/>
                <w:szCs w:val="18"/>
                <w:lang w:val="en-US" w:eastAsia="zh-CN" w:bidi="ar"/>
              </w:rPr>
              <w:t>零售业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23C0944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62409A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6EF362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9390DE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12FC7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10≤X&lt;50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22A07BC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6180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0675B492">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9512AD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6A1DEB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C284CD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Y≥20000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E80A0C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500≤Y&lt;20000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6216A8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100≤Y&lt;500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1A499C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1B0C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3ED19BF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交通运输业★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EEDFE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8EB0C6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243AA2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7BEBAB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BBD4D7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B9491E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0FB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07FEFDDC">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50E637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23DB69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D94FC4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Y≥30000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ED4427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3000≤Y&lt;30000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4DD6C9B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200≤Y&lt;3000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555988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Y&lt;200</w:t>
            </w:r>
          </w:p>
        </w:tc>
      </w:tr>
      <w:tr w14:paraId="03B9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0D5FCA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仓储业★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D265DE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206455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CA59D8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X≥200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A15B8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100≤X&lt;200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2FE445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16F9EC5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6EEB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78BEE25D">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D07E88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4DE12F3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B79565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Y≥30000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23AB00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1000≤Y&lt;30000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4E194B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125FD6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64E4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249729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邮政业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4B17B0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BF5582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326A7A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ADB7B7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03C8F4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53435BB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X&lt;20</w:t>
            </w:r>
          </w:p>
        </w:tc>
      </w:tr>
      <w:tr w14:paraId="53F7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7F9C5F6F">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1C7FD4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905CCD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ADAE01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Y≥30000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EC6CFE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2000≤Y&lt;30000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6137AB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406C05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0EEF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3E4D050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住宿业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94BEF6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20002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CE0111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3DB278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32BEB5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DD3E25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3ACF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571EDA2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357415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AD43D3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A5F574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B514DE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5F2C0B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4373AC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171C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ABC40C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餐饮业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BD693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705D32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8E0EEE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BB1924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BB025D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1E90C8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5730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6345813E">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BBAEAA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A9C6E8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4376EC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3C61F2B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2000≤Y&lt;10000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72EA47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100≤Y&lt;2000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234D9D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233D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536163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信息传输业★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104E5B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C282F9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4B2A7DA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X≥2000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25B33CE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100≤X&lt;2000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F879DD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CC4E31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3A65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59B44FB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538582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FD7F5F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EF577A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58606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1000≤Y&lt;100000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74DBE4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4B9443A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6B4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ACE155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软件和信息技术服务业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2C192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6E8E8AC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394B902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567D3B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07A6A7C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99D73D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1C53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6EB8A202">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CCC779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248932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6461EF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130BC0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2FCFB70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CB2AB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Y&lt;50</w:t>
            </w:r>
          </w:p>
        </w:tc>
      </w:tr>
      <w:tr w14:paraId="0957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5D74C0F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房地产开发经营</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75F43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AB7E4F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154E2709">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Y≥200000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B29DF4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1000≤Y&lt;200000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94FA42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3B06754">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Y&lt;100</w:t>
            </w:r>
          </w:p>
        </w:tc>
      </w:tr>
      <w:tr w14:paraId="4951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768F517B">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53492C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资产总额(Z)</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7CA9355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7E5909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Z≥10000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717861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5000≤Z&lt;10000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7C6D9FFA">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2000≤Z&lt;5000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5B8C17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Z&lt;2000</w:t>
            </w:r>
          </w:p>
        </w:tc>
      </w:tr>
      <w:tr w14:paraId="7CFD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77AAA30C">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物业管理</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9351A8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661E00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07A96E7">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X≥1000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0E5CA90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300≤X&lt;1000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2ED9B3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3EF5918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X&lt;100</w:t>
            </w:r>
          </w:p>
        </w:tc>
      </w:tr>
      <w:tr w14:paraId="7766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01F5916C">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3367F0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营业收入(Y)</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05D7A0D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71F422F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Y≥5000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4F8B1812">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1000≤Y&lt;5000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4DEDDC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500≤Y&lt;1000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4618F4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Y&lt;500</w:t>
            </w:r>
          </w:p>
        </w:tc>
      </w:tr>
      <w:tr w14:paraId="60EE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restart"/>
            <w:tcBorders>
              <w:top w:val="nil"/>
              <w:left w:val="single" w:color="auto" w:sz="4" w:space="0"/>
              <w:bottom w:val="single" w:color="auto" w:sz="4" w:space="0"/>
              <w:right w:val="single" w:color="auto" w:sz="4" w:space="0"/>
            </w:tcBorders>
            <w:shd w:val="clear" w:color="auto" w:fill="auto"/>
            <w:vAlign w:val="center"/>
          </w:tcPr>
          <w:p w14:paraId="6FB7A50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租赁和商务服务业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B259B9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209409F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2DDF2C2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6D72063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44B55F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3EF7E7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r w14:paraId="198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vMerge w:val="continue"/>
            <w:tcBorders>
              <w:top w:val="nil"/>
              <w:left w:val="single" w:color="auto" w:sz="4" w:space="0"/>
              <w:bottom w:val="single" w:color="auto" w:sz="4" w:space="0"/>
              <w:right w:val="single" w:color="auto" w:sz="4" w:space="0"/>
            </w:tcBorders>
            <w:shd w:val="clear" w:color="auto" w:fill="auto"/>
            <w:vAlign w:val="center"/>
          </w:tcPr>
          <w:p w14:paraId="3DC8DE1A">
            <w:pPr>
              <w:pageBreakBefore w:val="0"/>
              <w:kinsoku/>
              <w:overflowPunct/>
              <w:topLinePunct w:val="0"/>
              <w:bidi w:val="0"/>
              <w:adjustRightInd w:val="0"/>
              <w:snapToGrid w:val="0"/>
              <w:spacing w:after="0" w:line="360" w:lineRule="auto"/>
              <w:textAlignment w:val="auto"/>
              <w:rPr>
                <w:rFonts w:hint="default" w:ascii="Times New Roman" w:hAnsi="Times New Roman" w:cs="Times New Roman"/>
                <w:color w:val="auto"/>
                <w:sz w:val="20"/>
                <w:szCs w:val="20"/>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B827828">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资产总额(Z)</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3ACA76C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万元</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00BEABEF">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Z≥120000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1D183D96">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8000≤Z&lt;120000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8F47F7B">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100≤Z&lt;8000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6E963CE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Z&lt;100</w:t>
            </w:r>
          </w:p>
        </w:tc>
      </w:tr>
      <w:tr w14:paraId="5E32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1399505">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其他未列明行业★</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5B1454E">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从业人员(X)</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598831D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人</w:t>
            </w: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14:paraId="6F799893">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X≥300</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78A62671">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100≤X&lt;300</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E9218C0">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10≤X&lt;100</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7A6325AD">
            <w:pPr>
              <w:keepNext w:val="0"/>
              <w:keepLines w:val="0"/>
              <w:pageBreakBefore w:val="0"/>
              <w:widowControl/>
              <w:suppressLineNumbers w:val="0"/>
              <w:kinsoku/>
              <w:overflowPunct/>
              <w:topLinePunct w:val="0"/>
              <w:bidi w:val="0"/>
              <w:adjustRightInd w:val="0"/>
              <w:snapToGrid w:val="0"/>
              <w:spacing w:beforeAutospacing="0" w:after="0" w:afterAutospacing="0" w:line="360" w:lineRule="auto"/>
              <w:ind w:left="0" w:right="0"/>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X&lt;10</w:t>
            </w:r>
          </w:p>
        </w:tc>
      </w:tr>
    </w:tbl>
    <w:p w14:paraId="78B2762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中小企业划分标准的说明：</w:t>
      </w:r>
    </w:p>
    <w:p w14:paraId="00CDC3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1.大型、中型和小型企业须同时满足所列指标的下限，否则下划一档；微型企业只须满足所列指标中的一项即可。</w:t>
      </w:r>
    </w:p>
    <w:p w14:paraId="7A4B361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2.附表中各行业的范围以《国民经济行业分类》（GB/T 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D244C4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AB20C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22</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E12A52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.1出现下列情形之一，将导致项目废标：</w:t>
      </w:r>
    </w:p>
    <w:p w14:paraId="0BD31F0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3DF544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E319EE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w:t>
      </w:r>
      <w:r>
        <w:rPr>
          <w:rFonts w:hint="eastAsia" w:ascii="宋体" w:hAnsi="宋体" w:eastAsia="宋体"/>
          <w:color w:val="auto"/>
          <w:sz w:val="24"/>
          <w:highlight w:val="none"/>
          <w:lang w:eastAsia="zh-CN"/>
        </w:rPr>
        <w:t>或最高限价</w:t>
      </w:r>
      <w:r>
        <w:rPr>
          <w:rFonts w:hint="eastAsia" w:ascii="宋体" w:hAnsi="宋体" w:eastAsia="宋体"/>
          <w:color w:val="auto"/>
          <w:sz w:val="24"/>
          <w:highlight w:val="none"/>
        </w:rPr>
        <w:t>，采购人不能支付的；</w:t>
      </w:r>
    </w:p>
    <w:p w14:paraId="46DB665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793138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22</w:t>
      </w:r>
      <w:r>
        <w:rPr>
          <w:rFonts w:hint="eastAsia" w:ascii="宋体" w:hAnsi="宋体" w:eastAsia="宋体"/>
          <w:color w:val="auto"/>
          <w:sz w:val="24"/>
          <w:highlight w:val="none"/>
        </w:rPr>
        <w:t>.2公开招标数额标准以上的采购项目，投标截止后投标人不足3家或者通过资格审查或符合性审查或异常低价投标审查的投标人不足3家的，除采购任务取消情形外，按照以下方式处理：</w:t>
      </w:r>
    </w:p>
    <w:p w14:paraId="724D3F0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0D7A38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w:t>
      </w:r>
    </w:p>
    <w:p w14:paraId="4176CF9F">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9A1499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.1评标将在严格保密的情况下进行。</w:t>
      </w:r>
    </w:p>
    <w:p w14:paraId="5177EE8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893995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1035340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6B9CFE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color w:val="auto"/>
          <w:sz w:val="24"/>
          <w:highlight w:val="none"/>
        </w:rPr>
        <w:t>出现两家或两家以上相同者，采取评标委员会随机抽取的方式确定中标候选顺序。</w:t>
      </w:r>
    </w:p>
    <w:p w14:paraId="669204B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2）采用综合评分法的，评标结果按评审后得分由高到低顺序排列。</w:t>
      </w:r>
      <w:r>
        <w:rPr>
          <w:rFonts w:hint="eastAsia" w:ascii="宋体" w:hAnsi="宋体" w:eastAsia="宋体"/>
          <w:color w:val="auto"/>
          <w:sz w:val="24"/>
          <w:highlight w:val="none"/>
        </w:rPr>
        <w:t>得分相同的，按投标报价由低到高顺序排列。得分与投标报价均相同的，</w:t>
      </w:r>
      <w:r>
        <w:rPr>
          <w:rFonts w:hint="eastAsia" w:ascii="宋体" w:hAnsi="宋体" w:eastAsia="宋体"/>
          <w:color w:val="auto"/>
          <w:sz w:val="24"/>
          <w:highlight w:val="none"/>
          <w:lang w:eastAsia="zh-CN"/>
        </w:rPr>
        <w:t>则</w:t>
      </w:r>
      <w:r>
        <w:rPr>
          <w:rFonts w:hint="eastAsia" w:ascii="宋体" w:hAnsi="宋体" w:eastAsia="宋体"/>
          <w:color w:val="auto"/>
          <w:sz w:val="24"/>
          <w:highlight w:val="none"/>
        </w:rPr>
        <w:t>采取评标委员会随机抽取的方式确定中标候选顺序。</w:t>
      </w:r>
    </w:p>
    <w:p w14:paraId="0AD024D0">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5</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624C4C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69C48F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36ABD54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1A07DE8">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6</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FDC43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1C6A5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3EF67F4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1E6B61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.2</w:t>
      </w:r>
      <w:r>
        <w:rPr>
          <w:rFonts w:hint="eastAsia" w:ascii="宋体" w:hAnsi="宋体" w:eastAsia="宋体"/>
          <w:color w:val="auto"/>
          <w:sz w:val="24"/>
          <w:highlight w:val="none"/>
        </w:rPr>
        <w:t>自中标人确定之日起2个工作日内，采购代理机构将在</w:t>
      </w:r>
      <w:r>
        <w:rPr>
          <w:rFonts w:hint="eastAsia" w:ascii="宋体" w:hAnsi="宋体" w:eastAsia="宋体"/>
          <w:color w:val="auto"/>
          <w:sz w:val="24"/>
          <w:highlight w:val="none"/>
          <w:lang w:val="en-US" w:eastAsia="zh-CN"/>
        </w:rPr>
        <w:t>铜陵市公共资源交易中心网</w:t>
      </w:r>
      <w:r>
        <w:rPr>
          <w:rFonts w:hint="eastAsia" w:ascii="宋体" w:hAnsi="宋体" w:eastAsia="宋体"/>
          <w:color w:val="auto"/>
          <w:sz w:val="24"/>
          <w:highlight w:val="none"/>
        </w:rPr>
        <w:t>发布中标结果公告。</w:t>
      </w:r>
    </w:p>
    <w:p w14:paraId="6AD3342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color w:val="auto"/>
          <w:sz w:val="24"/>
          <w:highlight w:val="none"/>
        </w:rPr>
        <w:t>主要中标标的的名称、规格型号、数量、单价、服务要求，</w:t>
      </w:r>
      <w:r>
        <w:rPr>
          <w:rFonts w:ascii="宋体" w:hAnsi="宋体" w:eastAsia="宋体"/>
          <w:color w:val="auto"/>
          <w:sz w:val="24"/>
          <w:highlight w:val="none"/>
        </w:rPr>
        <w:t>中标公告期限、评审专家名单以及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33E52F5">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4361C48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.1</w:t>
      </w:r>
      <w:r>
        <w:rPr>
          <w:rFonts w:hint="eastAsia" w:ascii="宋体" w:hAnsi="宋体" w:eastAsia="宋体" w:cs="宋体"/>
          <w:i w:val="0"/>
          <w:iCs w:val="0"/>
          <w:caps w:val="0"/>
          <w:color w:val="auto"/>
          <w:spacing w:val="0"/>
          <w:sz w:val="24"/>
          <w:szCs w:val="24"/>
          <w:shd w:val="clear" w:color="auto" w:fill="FFFFFF"/>
          <w:lang w:val="en-US" w:eastAsia="zh-CN"/>
        </w:rPr>
        <w:t>采购人或</w:t>
      </w:r>
      <w:r>
        <w:rPr>
          <w:rFonts w:hint="eastAsia" w:ascii="宋体" w:hAnsi="宋体" w:eastAsia="宋体" w:cs="宋体"/>
          <w:i w:val="0"/>
          <w:iCs w:val="0"/>
          <w:caps w:val="0"/>
          <w:color w:val="auto"/>
          <w:spacing w:val="0"/>
          <w:sz w:val="24"/>
          <w:szCs w:val="24"/>
          <w:shd w:val="clear" w:color="auto" w:fill="FFFFFF"/>
        </w:rPr>
        <w:t>采购代理机构</w:t>
      </w:r>
      <w:r>
        <w:rPr>
          <w:rFonts w:ascii="宋体" w:hAnsi="宋体" w:eastAsia="宋体"/>
          <w:color w:val="auto"/>
          <w:sz w:val="24"/>
          <w:highlight w:val="none"/>
        </w:rPr>
        <w:t>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0307A98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7754F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ascii="宋体" w:hAnsi="宋体" w:eastAsia="宋体"/>
          <w:color w:val="auto"/>
          <w:sz w:val="24"/>
          <w:highlight w:val="none"/>
        </w:rPr>
        <w:t>.3中标通知书是合同的组成部分。</w:t>
      </w:r>
    </w:p>
    <w:p w14:paraId="20C73978">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B4BAF5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980028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.2招标文件、中标人的投标文件及其澄清文件等，均为签订合同的依据。</w:t>
      </w:r>
    </w:p>
    <w:p w14:paraId="323FAD9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066D2C0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125E9AA">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bookmarkStart w:id="5" w:name="_Toc518923100"/>
      <w:bookmarkStart w:id="6" w:name="_Toc2583661"/>
      <w:r>
        <w:rPr>
          <w:rFonts w:hint="eastAsia" w:ascii="宋体" w:hAnsi="宋体" w:eastAsia="宋体"/>
          <w:b/>
          <w:color w:val="auto"/>
          <w:sz w:val="24"/>
          <w:highlight w:val="none"/>
          <w:lang w:val="en-US" w:eastAsia="zh-CN"/>
        </w:rPr>
        <w:t>30</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5"/>
      <w:bookmarkEnd w:id="6"/>
    </w:p>
    <w:p w14:paraId="7BCC6BF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30</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1CD538D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30</w:t>
      </w:r>
      <w:r>
        <w:rPr>
          <w:rFonts w:hint="eastAsia" w:ascii="宋体" w:hAnsi="宋体" w:eastAsia="宋体"/>
          <w:color w:val="auto"/>
          <w:sz w:val="24"/>
          <w:highlight w:val="none"/>
          <w:lang w:eastAsia="zh-CN"/>
        </w:rPr>
        <w:t>.</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A92991">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bookmarkStart w:id="7" w:name="_Toc518923101"/>
      <w:bookmarkStart w:id="8" w:name="_Toc2583662"/>
      <w:r>
        <w:rPr>
          <w:rFonts w:hint="eastAsia" w:ascii="宋体" w:hAnsi="宋体" w:eastAsia="宋体"/>
          <w:b/>
          <w:color w:val="auto"/>
          <w:sz w:val="24"/>
          <w:highlight w:val="none"/>
          <w:lang w:val="en-US" w:eastAsia="zh-CN"/>
        </w:rPr>
        <w:t>31</w:t>
      </w:r>
      <w:r>
        <w:rPr>
          <w:rFonts w:hint="eastAsia" w:ascii="宋体" w:hAnsi="宋体" w:eastAsia="宋体"/>
          <w:b/>
          <w:color w:val="auto"/>
          <w:sz w:val="24"/>
          <w:highlight w:val="none"/>
        </w:rPr>
        <w:t>.人员回避</w:t>
      </w:r>
      <w:bookmarkEnd w:id="7"/>
      <w:bookmarkEnd w:id="8"/>
    </w:p>
    <w:p w14:paraId="609236F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1C6753">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质疑</w:t>
      </w:r>
      <w:r>
        <w:rPr>
          <w:rFonts w:hint="eastAsia" w:ascii="宋体" w:hAnsi="宋体" w:eastAsia="宋体"/>
          <w:b/>
          <w:color w:val="auto"/>
          <w:sz w:val="24"/>
          <w:highlight w:val="none"/>
        </w:rPr>
        <w:t>的提出与接收</w:t>
      </w:r>
    </w:p>
    <w:p w14:paraId="5B66F89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.1投标人认为招标文件、招标过程和中标结果使自己的权益受到损害的，可以在知道或者应</w:t>
      </w:r>
      <w:r>
        <w:rPr>
          <w:rFonts w:hint="eastAsia" w:ascii="宋体" w:hAnsi="宋体" w:eastAsia="宋体"/>
          <w:b w:val="0"/>
          <w:bCs w:val="0"/>
          <w:color w:val="auto"/>
          <w:sz w:val="24"/>
          <w:highlight w:val="none"/>
        </w:rPr>
        <w:t>知其权益受到损害之日起七个工作日内，以书面形式向采购人或其委托的采购代理机构提出</w:t>
      </w:r>
      <w:r>
        <w:rPr>
          <w:rFonts w:hint="eastAsia" w:ascii="宋体" w:hAnsi="宋体" w:eastAsia="宋体"/>
          <w:b w:val="0"/>
          <w:bCs w:val="0"/>
          <w:color w:val="auto"/>
          <w:sz w:val="24"/>
          <w:highlight w:val="none"/>
          <w:lang w:val="en-US" w:eastAsia="zh-CN"/>
        </w:rPr>
        <w:t>质疑</w:t>
      </w:r>
      <w:r>
        <w:rPr>
          <w:rFonts w:hint="eastAsia" w:ascii="宋体" w:hAnsi="宋体" w:eastAsia="宋体" w:cs="宋体"/>
          <w:b w:val="0"/>
          <w:bCs w:val="0"/>
          <w:color w:val="auto"/>
          <w:kern w:val="2"/>
          <w:sz w:val="24"/>
          <w:szCs w:val="24"/>
          <w:highlight w:val="none"/>
          <w:lang w:val="en-US" w:eastAsia="zh-CN"/>
        </w:rPr>
        <w:t>。</w:t>
      </w:r>
    </w:p>
    <w:p w14:paraId="13A9FEE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lang w:val="en-US" w:eastAsia="en-US"/>
        </w:rPr>
      </w:pPr>
      <w:r>
        <w:rPr>
          <w:rFonts w:hint="eastAsia" w:ascii="宋体" w:hAnsi="宋体" w:eastAsia="宋体"/>
          <w:b w:val="0"/>
          <w:bCs w:val="0"/>
          <w:color w:val="auto"/>
          <w:sz w:val="24"/>
          <w:highlight w:val="none"/>
          <w:lang w:val="en-US" w:eastAsia="en-US"/>
        </w:rPr>
        <w:t>3</w:t>
      </w: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lang w:val="en-US" w:eastAsia="en-US"/>
        </w:rPr>
        <w:t>.2 上述应知其权益受到损害之日，是指：</w:t>
      </w:r>
    </w:p>
    <w:p w14:paraId="523CB3C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lang w:val="en-US" w:eastAsia="en-US"/>
        </w:rPr>
      </w:pPr>
      <w:r>
        <w:rPr>
          <w:rFonts w:hint="eastAsia" w:ascii="宋体" w:hAnsi="宋体" w:eastAsia="宋体"/>
          <w:b w:val="0"/>
          <w:bCs w:val="0"/>
          <w:color w:val="auto"/>
          <w:sz w:val="24"/>
          <w:highlight w:val="none"/>
          <w:lang w:val="en-US" w:eastAsia="en-US"/>
        </w:rPr>
        <w:t>（1）对招标文件提出</w:t>
      </w:r>
      <w:r>
        <w:rPr>
          <w:rFonts w:hint="eastAsia" w:ascii="宋体" w:hAnsi="宋体" w:eastAsia="宋体"/>
          <w:b w:val="0"/>
          <w:bCs w:val="0"/>
          <w:color w:val="auto"/>
          <w:sz w:val="24"/>
          <w:highlight w:val="none"/>
          <w:lang w:val="en-US" w:eastAsia="zh-CN"/>
        </w:rPr>
        <w:t>质疑</w:t>
      </w:r>
      <w:r>
        <w:rPr>
          <w:rFonts w:hint="eastAsia" w:ascii="宋体" w:hAnsi="宋体" w:eastAsia="宋体"/>
          <w:b w:val="0"/>
          <w:bCs w:val="0"/>
          <w:color w:val="auto"/>
          <w:sz w:val="24"/>
          <w:highlight w:val="none"/>
          <w:lang w:val="en-US" w:eastAsia="en-US"/>
        </w:rPr>
        <w:t>的，为</w:t>
      </w:r>
      <w:r>
        <w:rPr>
          <w:rFonts w:hint="eastAsia" w:ascii="宋体" w:hAnsi="宋体" w:eastAsia="宋体"/>
          <w:b w:val="0"/>
          <w:bCs w:val="0"/>
          <w:color w:val="auto"/>
          <w:sz w:val="24"/>
          <w:highlight w:val="none"/>
          <w:lang w:val="en-US" w:eastAsia="zh-CN"/>
        </w:rPr>
        <w:t>获取招标文件或招标文件</w:t>
      </w:r>
      <w:r>
        <w:rPr>
          <w:rFonts w:hint="eastAsia" w:ascii="宋体" w:hAnsi="宋体" w:eastAsia="宋体"/>
          <w:b w:val="0"/>
          <w:bCs w:val="0"/>
          <w:color w:val="auto"/>
          <w:sz w:val="24"/>
          <w:highlight w:val="none"/>
          <w:lang w:val="en-US" w:eastAsia="en-US"/>
        </w:rPr>
        <w:t>公告期限届满之日；</w:t>
      </w:r>
    </w:p>
    <w:p w14:paraId="2F06005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val="0"/>
          <w:bCs w:val="0"/>
          <w:color w:val="auto"/>
          <w:sz w:val="24"/>
          <w:highlight w:val="none"/>
          <w:lang w:val="en-US" w:eastAsia="en-US"/>
        </w:rPr>
      </w:pPr>
      <w:r>
        <w:rPr>
          <w:rFonts w:hint="eastAsia" w:ascii="宋体" w:hAnsi="宋体" w:eastAsia="宋体"/>
          <w:b w:val="0"/>
          <w:bCs w:val="0"/>
          <w:color w:val="auto"/>
          <w:sz w:val="24"/>
          <w:highlight w:val="none"/>
          <w:lang w:val="en-US" w:eastAsia="en-US"/>
        </w:rPr>
        <w:t>（2）对采购过程提出</w:t>
      </w:r>
      <w:r>
        <w:rPr>
          <w:rFonts w:hint="eastAsia" w:ascii="宋体" w:hAnsi="宋体" w:eastAsia="宋体"/>
          <w:b w:val="0"/>
          <w:bCs w:val="0"/>
          <w:color w:val="auto"/>
          <w:sz w:val="24"/>
          <w:highlight w:val="none"/>
          <w:lang w:val="en-US" w:eastAsia="zh-CN"/>
        </w:rPr>
        <w:t>质疑</w:t>
      </w:r>
      <w:r>
        <w:rPr>
          <w:rFonts w:hint="eastAsia" w:ascii="宋体" w:hAnsi="宋体" w:eastAsia="宋体"/>
          <w:b w:val="0"/>
          <w:bCs w:val="0"/>
          <w:color w:val="auto"/>
          <w:sz w:val="24"/>
          <w:highlight w:val="none"/>
          <w:lang w:val="en-US" w:eastAsia="en-US"/>
        </w:rPr>
        <w:t>的，为各采购程序环节结束之日；</w:t>
      </w:r>
    </w:p>
    <w:p w14:paraId="7DA7F7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lang w:val="en-US" w:eastAsia="en-US"/>
        </w:rPr>
      </w:pPr>
      <w:r>
        <w:rPr>
          <w:rFonts w:hint="eastAsia" w:ascii="宋体" w:hAnsi="宋体" w:eastAsia="宋体"/>
          <w:b w:val="0"/>
          <w:bCs w:val="0"/>
          <w:color w:val="auto"/>
          <w:sz w:val="24"/>
          <w:highlight w:val="none"/>
          <w:lang w:val="en-US" w:eastAsia="en-US"/>
        </w:rPr>
        <w:t>（3）对中标结果提出</w:t>
      </w:r>
      <w:r>
        <w:rPr>
          <w:rFonts w:hint="eastAsia" w:ascii="宋体" w:hAnsi="宋体" w:eastAsia="宋体"/>
          <w:b w:val="0"/>
          <w:bCs w:val="0"/>
          <w:color w:val="auto"/>
          <w:sz w:val="24"/>
          <w:highlight w:val="none"/>
          <w:lang w:val="en-US" w:eastAsia="zh-CN"/>
        </w:rPr>
        <w:t>质疑</w:t>
      </w:r>
      <w:r>
        <w:rPr>
          <w:rFonts w:hint="eastAsia" w:ascii="宋体" w:hAnsi="宋体" w:eastAsia="宋体"/>
          <w:b w:val="0"/>
          <w:bCs w:val="0"/>
          <w:color w:val="auto"/>
          <w:sz w:val="24"/>
          <w:highlight w:val="none"/>
          <w:lang w:val="en-US" w:eastAsia="en-US"/>
        </w:rPr>
        <w:t>的</w:t>
      </w:r>
      <w:r>
        <w:rPr>
          <w:rFonts w:hint="eastAsia" w:ascii="宋体" w:hAnsi="宋体" w:eastAsia="宋体"/>
          <w:color w:val="auto"/>
          <w:sz w:val="24"/>
          <w:highlight w:val="none"/>
          <w:lang w:val="en-US" w:eastAsia="en-US"/>
        </w:rPr>
        <w:t>，为中标结果公告期限届满之日。</w:t>
      </w:r>
    </w:p>
    <w:p w14:paraId="4F60DF7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FF0000"/>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期提交的质疑将被拒绝。针对同一采购程序环节的质疑应一次性提出。</w:t>
      </w:r>
    </w:p>
    <w:p w14:paraId="333709A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b/>
          <w:bCs/>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采购代理机构</w:t>
      </w:r>
      <w:r>
        <w:rPr>
          <w:rFonts w:hint="eastAsia" w:ascii="宋体" w:hAnsi="宋体" w:eastAsia="宋体"/>
          <w:b w:val="0"/>
          <w:bCs/>
          <w:color w:val="auto"/>
          <w:sz w:val="24"/>
          <w:highlight w:val="none"/>
          <w:lang w:val="en-US" w:eastAsia="zh-CN"/>
        </w:rPr>
        <w:t>质疑</w:t>
      </w:r>
      <w:r>
        <w:rPr>
          <w:rFonts w:hint="eastAsia" w:ascii="宋体" w:hAnsi="宋体" w:eastAsia="宋体"/>
          <w:color w:val="auto"/>
          <w:sz w:val="24"/>
          <w:highlight w:val="none"/>
        </w:rPr>
        <w:t>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569A91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3</w:t>
      </w:r>
      <w:r>
        <w:rPr>
          <w:rFonts w:hint="eastAsia" w:ascii="宋体" w:hAnsi="宋体" w:eastAsia="宋体"/>
          <w:b w:val="0"/>
          <w:bCs/>
          <w:color w:val="auto"/>
          <w:sz w:val="24"/>
          <w:highlight w:val="none"/>
          <w:lang w:val="en-US" w:eastAsia="zh-CN"/>
        </w:rPr>
        <w:t>3</w:t>
      </w:r>
      <w:r>
        <w:rPr>
          <w:rFonts w:ascii="宋体" w:hAnsi="宋体" w:eastAsia="宋体"/>
          <w:b w:val="0"/>
          <w:bCs/>
          <w:color w:val="auto"/>
          <w:sz w:val="24"/>
          <w:highlight w:val="none"/>
        </w:rPr>
        <w:t>.</w:t>
      </w:r>
      <w:r>
        <w:rPr>
          <w:rFonts w:hint="eastAsia" w:ascii="宋体" w:hAnsi="宋体" w:eastAsia="宋体"/>
          <w:b w:val="0"/>
          <w:bCs/>
          <w:color w:val="auto"/>
          <w:sz w:val="24"/>
          <w:highlight w:val="none"/>
        </w:rPr>
        <w:t>需要补充的其他内容</w:t>
      </w:r>
    </w:p>
    <w:p w14:paraId="37657E0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2FD66E2">
      <w:pPr>
        <w:pageBreakBefore w:val="0"/>
        <w:kinsoku/>
        <w:overflowPunct/>
        <w:topLinePunct w:val="0"/>
        <w:bidi w:val="0"/>
        <w:adjustRightInd w:val="0"/>
        <w:snapToGrid w:val="0"/>
        <w:spacing w:after="0" w:line="360" w:lineRule="auto"/>
        <w:textAlignment w:val="auto"/>
        <w:rPr>
          <w:rFonts w:hint="eastAsia" w:ascii="宋体" w:hAnsi="宋体" w:eastAsia="宋体" w:cs="宋体"/>
          <w:color w:val="auto"/>
          <w:sz w:val="24"/>
          <w:szCs w:val="24"/>
        </w:rPr>
      </w:pPr>
    </w:p>
    <w:p w14:paraId="5A7F477B">
      <w:pPr>
        <w:pageBreakBefore w:val="0"/>
        <w:kinsoku/>
        <w:overflowPunct/>
        <w:topLinePunct w:val="0"/>
        <w:bidi w:val="0"/>
        <w:adjustRightInd w:val="0"/>
        <w:snapToGrid w:val="0"/>
        <w:spacing w:after="0" w:line="360" w:lineRule="auto"/>
        <w:jc w:val="center"/>
        <w:textAlignment w:val="auto"/>
        <w:outlineLvl w:val="0"/>
        <w:rPr>
          <w:rFonts w:hint="eastAsia" w:ascii="宋体" w:hAnsi="宋体" w:eastAsia="宋体"/>
          <w:b/>
          <w:color w:val="auto"/>
          <w:sz w:val="28"/>
          <w:highlight w:val="none"/>
        </w:rPr>
      </w:pPr>
      <w:bookmarkStart w:id="9" w:name="_Toc10891"/>
    </w:p>
    <w:p w14:paraId="65F83244">
      <w:pPr>
        <w:pageBreakBefore w:val="0"/>
        <w:kinsoku/>
        <w:overflowPunct/>
        <w:topLinePunct w:val="0"/>
        <w:bidi w:val="0"/>
        <w:adjustRightInd w:val="0"/>
        <w:snapToGrid w:val="0"/>
        <w:spacing w:after="0" w:line="360" w:lineRule="auto"/>
        <w:jc w:val="left"/>
        <w:textAlignment w:val="auto"/>
        <w:outlineLvl w:val="9"/>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391875D0">
      <w:pPr>
        <w:pageBreakBefore w:val="0"/>
        <w:kinsoku/>
        <w:overflowPunct/>
        <w:topLinePunct w:val="0"/>
        <w:bidi w:val="0"/>
        <w:adjustRightInd w:val="0"/>
        <w:snapToGrid w:val="0"/>
        <w:spacing w:after="0" w:line="360" w:lineRule="auto"/>
        <w:jc w:val="center"/>
        <w:textAlignment w:val="auto"/>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第三章  采购需求</w:t>
      </w:r>
      <w:bookmarkEnd w:id="9"/>
    </w:p>
    <w:p w14:paraId="71F2CC25">
      <w:pPr>
        <w:pageBreakBefore w:val="0"/>
        <w:kinsoku/>
        <w:overflowPunct/>
        <w:topLinePunct w:val="0"/>
        <w:bidi w:val="0"/>
        <w:adjustRightInd w:val="0"/>
        <w:snapToGrid w:val="0"/>
        <w:spacing w:after="0" w:line="360" w:lineRule="auto"/>
        <w:textAlignment w:val="auto"/>
        <w:rPr>
          <w:rFonts w:ascii="宋体" w:hAnsi="宋体" w:eastAsia="宋体"/>
          <w:b/>
          <w:color w:val="auto"/>
          <w:sz w:val="24"/>
          <w:highlight w:val="none"/>
        </w:rPr>
      </w:pPr>
      <w:r>
        <w:rPr>
          <w:rFonts w:hint="eastAsia" w:ascii="宋体" w:hAnsi="宋体" w:eastAsia="宋体"/>
          <w:b/>
          <w:color w:val="auto"/>
          <w:sz w:val="24"/>
          <w:highlight w:val="none"/>
        </w:rPr>
        <w:t>前注：</w:t>
      </w:r>
    </w:p>
    <w:p w14:paraId="4EC9C2B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highlight w:val="none"/>
          <w:lang w:val="en-US" w:eastAsia="zh-CN"/>
        </w:rPr>
        <w:t>1.本采购需求中提出的服务方案仅为参考，如无明确限制，投标人可以进行优化，提供满足采购人实际需要的更优（或者性能实质上不低于的）服务方案，且此方案须经评标委员会评审认可。</w:t>
      </w:r>
    </w:p>
    <w:p w14:paraId="32B3FDF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19AA44D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（1）如属</w:t>
      </w:r>
      <w:r>
        <w:rPr>
          <w:rFonts w:hint="eastAsia" w:ascii="宋体" w:hAnsi="宋体" w:eastAsia="宋体" w:cs="宋体"/>
          <w:color w:val="auto"/>
          <w:sz w:val="24"/>
          <w:highlight w:val="none"/>
          <w:lang w:val="en-US" w:eastAsia="zh-CN"/>
        </w:rPr>
        <w:t>于《节能产品政府采购品目清单》中</w:t>
      </w:r>
      <w:r>
        <w:rPr>
          <w:rFonts w:hint="eastAsia" w:ascii="宋体" w:hAnsi="宋体" w:eastAsia="宋体" w:cs="宋体"/>
          <w:color w:val="auto"/>
          <w:sz w:val="24"/>
          <w:szCs w:val="24"/>
          <w:highlight w:val="none"/>
        </w:rPr>
        <w:t>政府强制采购的节能产品，则投标人所投产品须具有市场监管总</w:t>
      </w:r>
      <w:r>
        <w:rPr>
          <w:rFonts w:hint="eastAsia" w:ascii="宋体" w:hAnsi="宋体" w:eastAsia="宋体"/>
          <w:color w:val="auto"/>
          <w:sz w:val="24"/>
          <w:szCs w:val="18"/>
          <w:highlight w:val="none"/>
        </w:rPr>
        <w:t>局公布的《参与实施政府采购节能产品认证机构目录》中的认证机构出具的、处于有效期内的节能产品认证证书。</w:t>
      </w:r>
    </w:p>
    <w:p w14:paraId="5788388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81D22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EDBAA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03467ED6">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63A7A7A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5F18EFA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3DF3F9F3">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159E1653">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209062D7">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35CA8593">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669E68A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5B6E089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2F76AFDB">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03078856">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7644413B">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szCs w:val="18"/>
          <w:highlight w:val="none"/>
        </w:rPr>
      </w:pPr>
    </w:p>
    <w:p w14:paraId="50D4D8B7">
      <w:pPr>
        <w:pageBreakBefore w:val="0"/>
        <w:kinsoku/>
        <w:overflowPunct/>
        <w:topLinePunct w:val="0"/>
        <w:bidi w:val="0"/>
        <w:adjustRightInd w:val="0"/>
        <w:snapToGrid w:val="0"/>
        <w:spacing w:after="0" w:line="360" w:lineRule="auto"/>
        <w:ind w:firstLine="437"/>
        <w:textAlignment w:val="auto"/>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487"/>
      </w:tblGrid>
      <w:tr w14:paraId="5539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6F6D525">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textAlignment w:val="auto"/>
              <w:rPr>
                <w:rFonts w:ascii="宋体" w:hAnsi="宋体" w:eastAsia="宋体"/>
                <w:b/>
                <w:color w:val="auto"/>
                <w:kern w:val="2"/>
                <w:highlight w:val="none"/>
              </w:rPr>
            </w:pPr>
            <w:bookmarkStart w:id="10" w:name="_Toc7671"/>
            <w:bookmarkStart w:id="11" w:name="_Toc5944"/>
            <w:r>
              <w:rPr>
                <w:rFonts w:hint="eastAsia" w:ascii="宋体" w:hAnsi="宋体" w:eastAsia="宋体"/>
                <w:b/>
                <w:color w:val="auto"/>
                <w:kern w:val="2"/>
                <w:highlight w:val="none"/>
              </w:rPr>
              <w:t>序号</w:t>
            </w:r>
          </w:p>
        </w:tc>
        <w:tc>
          <w:tcPr>
            <w:tcW w:w="1192" w:type="pct"/>
            <w:vAlign w:val="center"/>
          </w:tcPr>
          <w:p w14:paraId="7A2020DF">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6" w:type="pct"/>
            <w:vAlign w:val="center"/>
          </w:tcPr>
          <w:p w14:paraId="1CD5480D">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37F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FCE686">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64D1AA3E">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6" w:type="pct"/>
            <w:vAlign w:val="center"/>
          </w:tcPr>
          <w:p w14:paraId="4FE9371D">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每季度根据考核结果一次性支付当季度服务费</w:t>
            </w:r>
          </w:p>
        </w:tc>
      </w:tr>
      <w:tr w14:paraId="3833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C7DC61">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E64918C">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6" w:type="pct"/>
            <w:vAlign w:val="center"/>
          </w:tcPr>
          <w:p w14:paraId="5626D930">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铜陵市公共资源交易</w:t>
            </w:r>
            <w:r>
              <w:rPr>
                <w:rFonts w:hint="eastAsia" w:ascii="宋体" w:hAnsi="宋体" w:eastAsia="宋体"/>
                <w:b w:val="0"/>
                <w:color w:val="000000" w:themeColor="text1"/>
                <w:sz w:val="24"/>
                <w:highlight w:val="none"/>
                <w:u w:val="single"/>
                <w:lang w:val="en-US" w:eastAsia="zh-CN"/>
                <w14:textFill>
                  <w14:solidFill>
                    <w14:schemeClr w14:val="tx1"/>
                  </w14:solidFill>
                </w14:textFill>
              </w:rPr>
              <w:t>市场</w:t>
            </w:r>
            <w:r>
              <w:rPr>
                <w:rFonts w:hint="eastAsia" w:ascii="宋体" w:hAnsi="宋体" w:eastAsia="宋体"/>
                <w:b w:val="0"/>
                <w:color w:val="000000" w:themeColor="text1"/>
                <w:sz w:val="24"/>
                <w:highlight w:val="none"/>
                <w:u w:val="single"/>
                <w14:textFill>
                  <w14:solidFill>
                    <w14:schemeClr w14:val="tx1"/>
                  </w14:solidFill>
                </w14:textFill>
              </w:rPr>
              <w:t>（铜都大道3596号投资大厦）</w:t>
            </w:r>
          </w:p>
        </w:tc>
      </w:tr>
      <w:tr w14:paraId="75BD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CD166C">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63218781">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6" w:type="pct"/>
            <w:vAlign w:val="center"/>
          </w:tcPr>
          <w:p w14:paraId="2D399391">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自合同签订之日起一年。经考核合格可续签，总服务期不超过三年。</w:t>
            </w:r>
          </w:p>
        </w:tc>
      </w:tr>
      <w:tr w14:paraId="495D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8AE3BB3">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4</w:t>
            </w:r>
          </w:p>
        </w:tc>
        <w:tc>
          <w:tcPr>
            <w:tcW w:w="1192" w:type="pct"/>
            <w:vAlign w:val="center"/>
          </w:tcPr>
          <w:p w14:paraId="58EDAA75">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6" w:type="pct"/>
            <w:vAlign w:val="center"/>
          </w:tcPr>
          <w:p w14:paraId="182EEC2F">
            <w:pPr>
              <w:pageBreakBefore w:val="0"/>
              <w:kinsoku/>
              <w:overflowPunct/>
              <w:topLinePunct w:val="0"/>
              <w:bidi w:val="0"/>
              <w:adjustRightInd w:val="0"/>
              <w:snapToGrid w:val="0"/>
              <w:spacing w:after="0" w:line="360" w:lineRule="auto"/>
              <w:jc w:val="left"/>
              <w:textAlignment w:val="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标的名称：</w:t>
            </w:r>
            <w:r>
              <w:rPr>
                <w:rFonts w:hint="eastAsia" w:asciiTheme="minorEastAsia" w:hAnsiTheme="minorEastAsia" w:eastAsiaTheme="minorEastAsia"/>
                <w:color w:val="000000" w:themeColor="text1"/>
                <w:highlight w:val="none"/>
                <w14:textFill>
                  <w14:solidFill>
                    <w14:schemeClr w14:val="tx1"/>
                  </w14:solidFill>
                </w14:textFill>
              </w:rPr>
              <w:t>铜陵市公共资源交易</w:t>
            </w:r>
            <w:r>
              <w:rPr>
                <w:rFonts w:hint="eastAsia" w:asciiTheme="minorEastAsia" w:hAnsiTheme="minorEastAsia" w:eastAsiaTheme="minorEastAsia"/>
                <w:color w:val="000000" w:themeColor="text1"/>
                <w:highlight w:val="none"/>
                <w:lang w:val="en-US" w:eastAsia="zh-CN"/>
                <w14:textFill>
                  <w14:solidFill>
                    <w14:schemeClr w14:val="tx1"/>
                  </w14:solidFill>
                </w14:textFill>
              </w:rPr>
              <w:t>市场</w:t>
            </w:r>
            <w:r>
              <w:rPr>
                <w:rFonts w:hint="eastAsia" w:asciiTheme="minorEastAsia" w:hAnsiTheme="minorEastAsia" w:eastAsiaTheme="minorEastAsia"/>
                <w:color w:val="000000" w:themeColor="text1"/>
                <w:highlight w:val="none"/>
                <w14:textFill>
                  <w14:solidFill>
                    <w14:schemeClr w14:val="tx1"/>
                  </w14:solidFill>
                </w14:textFill>
              </w:rPr>
              <w:t>物业服务</w:t>
            </w:r>
          </w:p>
          <w:p w14:paraId="2F87713E">
            <w:pPr>
              <w:pageBreakBefore w:val="0"/>
              <w:kinsoku/>
              <w:overflowPunct/>
              <w:topLinePunct w:val="0"/>
              <w:bidi w:val="0"/>
              <w:adjustRightInd w:val="0"/>
              <w:snapToGrid w:val="0"/>
              <w:spacing w:after="0" w:line="360" w:lineRule="auto"/>
              <w:jc w:val="left"/>
              <w:textAlignment w:val="auto"/>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所属行业：</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物业管理</w:t>
            </w:r>
          </w:p>
        </w:tc>
      </w:tr>
      <w:tr w14:paraId="301D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6C762F">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jc w:val="center"/>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14:paraId="54CF4FA5">
            <w:pPr>
              <w:pStyle w:val="39"/>
              <w:pageBreakBefore w:val="0"/>
              <w:widowControl w:val="0"/>
              <w:kinsoku/>
              <w:overflowPunct/>
              <w:topLinePunct w:val="0"/>
              <w:bidi w:val="0"/>
              <w:adjustRightInd w:val="0"/>
              <w:snapToGrid w:val="0"/>
              <w:spacing w:before="0" w:beforeAutospacing="0" w:after="0" w:afterAutospacing="0" w:line="360" w:lineRule="auto"/>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216" w:type="pct"/>
            <w:vAlign w:val="center"/>
          </w:tcPr>
          <w:p w14:paraId="3014CA9E">
            <w:pPr>
              <w:pStyle w:val="39"/>
              <w:pageBreakBefore w:val="0"/>
              <w:widowControl w:val="0"/>
              <w:kinsoku/>
              <w:overflowPunct/>
              <w:topLinePunct w:val="0"/>
              <w:bidi w:val="0"/>
              <w:adjustRightInd w:val="0"/>
              <w:snapToGrid w:val="0"/>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753462F0">
      <w:pPr>
        <w:pageBreakBefore w:val="0"/>
        <w:numPr>
          <w:ilvl w:val="0"/>
          <w:numId w:val="0"/>
        </w:numPr>
        <w:kinsoku/>
        <w:overflowPunct/>
        <w:topLinePunct w:val="0"/>
        <w:bidi w:val="0"/>
        <w:adjustRightInd w:val="0"/>
        <w:snapToGrid w:val="0"/>
        <w:spacing w:after="0" w:line="360" w:lineRule="auto"/>
        <w:ind w:firstLine="482" w:firstLineChars="200"/>
        <w:textAlignment w:val="auto"/>
        <w:outlineLvl w:val="1"/>
        <w:rPr>
          <w:rFonts w:hint="eastAsia" w:ascii="宋体" w:hAnsi="宋体" w:eastAsia="宋体"/>
          <w:b/>
          <w:bCs/>
          <w:color w:val="auto"/>
          <w:sz w:val="24"/>
          <w:szCs w:val="18"/>
          <w:highlight w:val="green"/>
          <w:lang w:eastAsia="zh-CN"/>
        </w:rPr>
      </w:pPr>
    </w:p>
    <w:p w14:paraId="6EBFB8D0">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1E3A8AFE">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79193BF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0EB0A9B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E90697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5A285DCA">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5C1195A5">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C96061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564EE2B9">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6745212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21471E5B">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7D4009F2">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0BE0FDA8">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CB564C2">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1850F5C0">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A44D7D9">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3DF705D6">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6F3FC012">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eastAsia="zh-CN"/>
        </w:rPr>
      </w:pPr>
    </w:p>
    <w:p w14:paraId="419D7571">
      <w:pPr>
        <w:pageBreakBefore w:val="0"/>
        <w:kinsoku/>
        <w:overflowPunct/>
        <w:topLinePunct w:val="0"/>
        <w:bidi w:val="0"/>
        <w:adjustRightInd w:val="0"/>
        <w:snapToGrid w:val="0"/>
        <w:spacing w:after="0" w:line="360" w:lineRule="auto"/>
        <w:ind w:firstLine="437"/>
        <w:textAlignment w:val="auto"/>
        <w:outlineLvl w:val="1"/>
        <w:rPr>
          <w:rFonts w:hint="eastAsia" w:ascii="方正小标宋简体" w:hAnsi="方正小标宋简体" w:eastAsia="方正小标宋简体" w:cs="方正小标宋简体"/>
          <w:sz w:val="36"/>
          <w:szCs w:val="36"/>
          <w:lang w:val="en-US" w:eastAsia="zh-CN"/>
        </w:rPr>
      </w:pPr>
      <w:r>
        <w:rPr>
          <w:rFonts w:hint="eastAsia" w:ascii="宋体" w:hAnsi="宋体" w:eastAsia="宋体"/>
          <w:b/>
          <w:bCs/>
          <w:color w:val="auto"/>
          <w:sz w:val="24"/>
          <w:szCs w:val="18"/>
          <w:highlight w:val="none"/>
          <w:lang w:eastAsia="zh-CN"/>
        </w:rPr>
        <w:t>二、</w:t>
      </w:r>
      <w:r>
        <w:rPr>
          <w:rFonts w:hint="eastAsia" w:ascii="宋体" w:hAnsi="宋体" w:eastAsia="宋体"/>
          <w:b/>
          <w:bCs/>
          <w:color w:val="auto"/>
          <w:sz w:val="24"/>
          <w:szCs w:val="18"/>
          <w:highlight w:val="none"/>
          <w:lang w:val="en-US" w:eastAsia="zh-CN"/>
        </w:rPr>
        <w:t>采</w:t>
      </w:r>
      <w:r>
        <w:rPr>
          <w:rFonts w:hint="eastAsia"/>
          <w:color w:val="auto"/>
          <w:highlight w:val="none"/>
          <w:lang w:val="en-US" w:eastAsia="zh-CN"/>
        </w:rPr>
        <w:t>购需求</w:t>
      </w:r>
      <w:bookmarkEnd w:id="10"/>
      <w:bookmarkEnd w:id="11"/>
    </w:p>
    <w:p w14:paraId="343C179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铜陵市公共资源交易市场(投资大厦）物业服务</w:t>
      </w:r>
    </w:p>
    <w:p w14:paraId="33D4EF2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采购需求</w:t>
      </w:r>
    </w:p>
    <w:p w14:paraId="240F147E">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lang w:val="en-US" w:eastAsia="zh-CN"/>
        </w:rPr>
      </w:pPr>
    </w:p>
    <w:p w14:paraId="34290A14">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val="en-US" w:eastAsia="zh-CN"/>
        </w:rPr>
      </w:pPr>
      <w:bookmarkStart w:id="12" w:name="_Toc27464"/>
      <w:r>
        <w:rPr>
          <w:rFonts w:hint="eastAsia" w:ascii="宋体" w:hAnsi="宋体" w:eastAsia="宋体"/>
          <w:b/>
          <w:bCs/>
          <w:color w:val="auto"/>
          <w:sz w:val="24"/>
          <w:szCs w:val="18"/>
          <w:highlight w:val="none"/>
          <w:lang w:val="en-US" w:eastAsia="zh-CN"/>
        </w:rPr>
        <w:t>一、基本需求</w:t>
      </w:r>
      <w:bookmarkEnd w:id="12"/>
    </w:p>
    <w:p w14:paraId="5BD7FEC5">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bCs/>
          <w:color w:val="auto"/>
          <w:sz w:val="24"/>
          <w:szCs w:val="18"/>
          <w:highlight w:val="none"/>
          <w:lang w:val="en-US" w:eastAsia="zh-CN"/>
        </w:rPr>
      </w:pPr>
      <w:bookmarkStart w:id="13" w:name="_Toc29684"/>
      <w:r>
        <w:rPr>
          <w:rFonts w:hint="eastAsia" w:ascii="宋体" w:hAnsi="宋体" w:eastAsia="宋体"/>
          <w:b/>
          <w:bCs/>
          <w:color w:val="auto"/>
          <w:sz w:val="24"/>
          <w:szCs w:val="18"/>
          <w:highlight w:val="none"/>
          <w:lang w:val="en-US" w:eastAsia="zh-CN"/>
        </w:rPr>
        <w:t>委托管理服务的物业概况</w:t>
      </w:r>
      <w:bookmarkEnd w:id="13"/>
    </w:p>
    <w:tbl>
      <w:tblPr>
        <w:tblStyle w:val="21"/>
        <w:tblpPr w:leftFromText="180" w:rightFromText="180" w:vertAnchor="text" w:horzAnchor="page" w:tblpX="1591" w:tblpY="3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394"/>
      </w:tblGrid>
      <w:tr w14:paraId="4949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5EF2DEA1">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物业名称</w:t>
            </w:r>
          </w:p>
        </w:tc>
        <w:tc>
          <w:tcPr>
            <w:tcW w:w="6805" w:type="dxa"/>
          </w:tcPr>
          <w:p w14:paraId="72D4F497">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铜陵市公共资源交易市场（投资大厦）物业服务</w:t>
            </w:r>
          </w:p>
        </w:tc>
      </w:tr>
      <w:tr w14:paraId="7FD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0B3810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坐落位置</w:t>
            </w:r>
          </w:p>
        </w:tc>
        <w:tc>
          <w:tcPr>
            <w:tcW w:w="6805" w:type="dxa"/>
          </w:tcPr>
          <w:p w14:paraId="65B8DC72">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铜都大道 3596 号</w:t>
            </w:r>
          </w:p>
        </w:tc>
      </w:tr>
      <w:tr w14:paraId="0C71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35EE68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总占地面积</w:t>
            </w:r>
          </w:p>
        </w:tc>
        <w:tc>
          <w:tcPr>
            <w:tcW w:w="6805" w:type="dxa"/>
          </w:tcPr>
          <w:p w14:paraId="3D0AE08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约1500平方米</w:t>
            </w:r>
          </w:p>
        </w:tc>
      </w:tr>
      <w:tr w14:paraId="2612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A016A46">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建筑物数量</w:t>
            </w:r>
          </w:p>
        </w:tc>
        <w:tc>
          <w:tcPr>
            <w:tcW w:w="6805" w:type="dxa"/>
          </w:tcPr>
          <w:p w14:paraId="005FB474">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1 幢</w:t>
            </w:r>
          </w:p>
        </w:tc>
      </w:tr>
      <w:tr w14:paraId="5717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909E48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建筑面积</w:t>
            </w:r>
          </w:p>
        </w:tc>
        <w:tc>
          <w:tcPr>
            <w:tcW w:w="6805" w:type="dxa"/>
          </w:tcPr>
          <w:p w14:paraId="4D9DA9D9">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约 6500平方米</w:t>
            </w:r>
          </w:p>
        </w:tc>
      </w:tr>
      <w:tr w14:paraId="596B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3EA8868D">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绿化面积</w:t>
            </w:r>
          </w:p>
        </w:tc>
        <w:tc>
          <w:tcPr>
            <w:tcW w:w="6805" w:type="dxa"/>
          </w:tcPr>
          <w:p w14:paraId="5AE0CE75">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约 300 平方米</w:t>
            </w:r>
          </w:p>
        </w:tc>
      </w:tr>
      <w:tr w14:paraId="43C2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679B24B7">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出入口</w:t>
            </w:r>
          </w:p>
        </w:tc>
        <w:tc>
          <w:tcPr>
            <w:tcW w:w="6805" w:type="dxa"/>
          </w:tcPr>
          <w:p w14:paraId="787A6AA8">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车辆出入口 2 个，人行出入口2 个</w:t>
            </w:r>
          </w:p>
        </w:tc>
      </w:tr>
      <w:tr w14:paraId="58A0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9844380">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停车场</w:t>
            </w:r>
          </w:p>
        </w:tc>
        <w:tc>
          <w:tcPr>
            <w:tcW w:w="6805" w:type="dxa"/>
          </w:tcPr>
          <w:p w14:paraId="752F269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室内（地下）停车场 1 个，车位数 2个 ；露天停车场 1 个，车位数 78个，电瓶车充电棚一个</w:t>
            </w:r>
          </w:p>
        </w:tc>
      </w:tr>
      <w:tr w14:paraId="6D3D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0CE42151">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电梯</w:t>
            </w:r>
          </w:p>
        </w:tc>
        <w:tc>
          <w:tcPr>
            <w:tcW w:w="6805" w:type="dxa"/>
          </w:tcPr>
          <w:p w14:paraId="1E26270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客梯2台</w:t>
            </w:r>
          </w:p>
        </w:tc>
      </w:tr>
      <w:tr w14:paraId="139F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338C686">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空调</w:t>
            </w:r>
          </w:p>
        </w:tc>
        <w:tc>
          <w:tcPr>
            <w:tcW w:w="6805" w:type="dxa"/>
          </w:tcPr>
          <w:p w14:paraId="31D4838E">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柜式空调，壁挂空调，风冷型精密空调</w:t>
            </w:r>
          </w:p>
        </w:tc>
      </w:tr>
      <w:tr w14:paraId="133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7C491BC">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消防系统</w:t>
            </w:r>
          </w:p>
        </w:tc>
        <w:tc>
          <w:tcPr>
            <w:tcW w:w="6805" w:type="dxa"/>
          </w:tcPr>
          <w:p w14:paraId="5E9376DC">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火灾报警控制器、广播功率放大器、消防电话、广播控制盘、消防电源、消火栓增压泵、喷淋增压泵、应急发电机组柴油机等</w:t>
            </w:r>
          </w:p>
        </w:tc>
      </w:tr>
      <w:tr w14:paraId="7E5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170807A0">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安防系统</w:t>
            </w:r>
          </w:p>
        </w:tc>
        <w:tc>
          <w:tcPr>
            <w:tcW w:w="6805" w:type="dxa"/>
          </w:tcPr>
          <w:p w14:paraId="7D980D86">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智能道闸系统、监控及门禁管理系统等</w:t>
            </w:r>
          </w:p>
        </w:tc>
      </w:tr>
      <w:tr w14:paraId="7E8D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2B2325C7">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给排水系统</w:t>
            </w:r>
          </w:p>
        </w:tc>
        <w:tc>
          <w:tcPr>
            <w:tcW w:w="6805" w:type="dxa"/>
          </w:tcPr>
          <w:p w14:paraId="6CB6217C">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生活用水储罐1个 ,增压泵1台，集水井 1个，无堵塞排污泵 2个</w:t>
            </w:r>
          </w:p>
        </w:tc>
      </w:tr>
      <w:tr w14:paraId="5CD0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F3305C5">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照明系统</w:t>
            </w:r>
          </w:p>
        </w:tc>
        <w:tc>
          <w:tcPr>
            <w:tcW w:w="6805" w:type="dxa"/>
          </w:tcPr>
          <w:p w14:paraId="60AB8C8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LED 平板灯、筒灯、日光灯、射灯、应急照明灯等</w:t>
            </w:r>
          </w:p>
        </w:tc>
      </w:tr>
      <w:tr w14:paraId="4447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5" w:type="dxa"/>
          </w:tcPr>
          <w:p w14:paraId="7CE0BBAB">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备注</w:t>
            </w:r>
          </w:p>
        </w:tc>
        <w:tc>
          <w:tcPr>
            <w:tcW w:w="6805" w:type="dxa"/>
          </w:tcPr>
          <w:p w14:paraId="26C44395">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sz w:val="21"/>
                <w:szCs w:val="21"/>
              </w:rPr>
            </w:pPr>
            <w:r>
              <w:rPr>
                <w:rFonts w:hint="eastAsia"/>
                <w:sz w:val="21"/>
                <w:szCs w:val="21"/>
                <w:lang w:val="en-US" w:eastAsia="zh-CN"/>
              </w:rPr>
              <w:t>本次采购范围不包括一楼的银行网点室内，但包括其室外周边的保洁。以上基本情况数据仅供参考，供应商可通过自行现场查勘的方式进一步了解项目概况。</w:t>
            </w:r>
          </w:p>
        </w:tc>
      </w:tr>
    </w:tbl>
    <w:p w14:paraId="718E75FA">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eastAsia"/>
          <w:sz w:val="28"/>
          <w:szCs w:val="28"/>
          <w:lang w:val="en-US" w:eastAsia="zh-CN"/>
        </w:rPr>
      </w:pPr>
      <w:bookmarkStart w:id="14" w:name="_Toc5450"/>
      <w:r>
        <w:rPr>
          <w:rFonts w:hint="eastAsia"/>
          <w:sz w:val="28"/>
          <w:szCs w:val="28"/>
          <w:lang w:val="en-US" w:eastAsia="zh-CN"/>
        </w:rPr>
        <w:t>物业基本情况</w:t>
      </w:r>
      <w:bookmarkEnd w:id="14"/>
    </w:p>
    <w:p w14:paraId="3A310A02">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sz w:val="28"/>
          <w:szCs w:val="28"/>
          <w:lang w:val="en-US" w:eastAsia="zh-CN"/>
        </w:rPr>
      </w:pPr>
      <w:bookmarkStart w:id="15" w:name="_Toc7018"/>
      <w:r>
        <w:rPr>
          <w:rFonts w:hint="eastAsia"/>
          <w:sz w:val="28"/>
          <w:szCs w:val="28"/>
          <w:lang w:val="en-US" w:eastAsia="zh-CN"/>
        </w:rPr>
        <w:t>楼宇功能分布情况</w:t>
      </w:r>
      <w:bookmarkEnd w:id="15"/>
    </w:p>
    <w:p w14:paraId="22E33370">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（1）综合楼</w:t>
      </w:r>
    </w:p>
    <w:p w14:paraId="2FC35A1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地下 1F：车库、消防设施、仓库、高低压配电房</w:t>
      </w:r>
    </w:p>
    <w:p w14:paraId="0071120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1F：大厅、快递收发室、保安室、</w:t>
      </w:r>
    </w:p>
    <w:p w14:paraId="200978AF">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2F：服务大厅、开标室、卫生间</w:t>
      </w:r>
    </w:p>
    <w:p w14:paraId="2D2A99FA">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3F：开标区、专家休息区、驻点办公室、厕所</w:t>
      </w:r>
    </w:p>
    <w:p w14:paraId="107B16F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4F：市公共资源交易监督管理局办公区</w:t>
      </w:r>
    </w:p>
    <w:p w14:paraId="0E20D1EB">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5F：市公共资源交易中心办公区</w:t>
      </w:r>
    </w:p>
    <w:p w14:paraId="786AA6E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6F：评标区</w:t>
      </w:r>
    </w:p>
    <w:p w14:paraId="1B798035">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顶层：电梯机房、生活水箱、消防排风、人防设备、铁塔设备</w:t>
      </w:r>
      <w:r>
        <w:rPr>
          <w:rFonts w:hint="eastAsia"/>
          <w:sz w:val="28"/>
          <w:szCs w:val="28"/>
          <w:lang w:val="en-US" w:eastAsia="zh-CN"/>
        </w:rPr>
        <w:t>、灯光字等</w:t>
      </w:r>
      <w:r>
        <w:rPr>
          <w:rFonts w:hint="default"/>
          <w:sz w:val="28"/>
          <w:szCs w:val="28"/>
          <w:lang w:val="en-US" w:eastAsia="zh-CN"/>
        </w:rPr>
        <w:t>。</w:t>
      </w:r>
    </w:p>
    <w:p w14:paraId="563B7260">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sz w:val="28"/>
          <w:szCs w:val="28"/>
          <w:lang w:val="en-US" w:eastAsia="zh-CN"/>
        </w:rPr>
      </w:pPr>
      <w:bookmarkStart w:id="16" w:name="_Toc13837"/>
      <w:r>
        <w:rPr>
          <w:rFonts w:hint="default"/>
          <w:sz w:val="28"/>
          <w:szCs w:val="28"/>
          <w:lang w:val="en-US" w:eastAsia="zh-CN"/>
        </w:rPr>
        <w:t>采购人提供供应商使用的场地、设施、设备、材料</w:t>
      </w:r>
      <w:bookmarkEnd w:id="16"/>
    </w:p>
    <w:p w14:paraId="701D89E5">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（1）采购人提供办公室 1 间，办公必须的桌椅、柜子等，仓库 1 间，休息室 1 间；</w:t>
      </w:r>
    </w:p>
    <w:p w14:paraId="2B4F9B3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（2）采购人提供所有零星维修材料；</w:t>
      </w:r>
    </w:p>
    <w:p w14:paraId="005B4104">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（3）采购人提供厕纸、洗手液、擦手纸、消毒液。</w:t>
      </w:r>
    </w:p>
    <w:p w14:paraId="02D20E69">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（4）</w:t>
      </w:r>
      <w:r>
        <w:rPr>
          <w:rFonts w:hint="default"/>
          <w:sz w:val="28"/>
          <w:szCs w:val="28"/>
          <w:lang w:val="en-US" w:eastAsia="zh-CN"/>
        </w:rPr>
        <w:t>采购人其他自费费用：</w:t>
      </w:r>
    </w:p>
    <w:p w14:paraId="1A08BE4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① </w:t>
      </w:r>
      <w:r>
        <w:rPr>
          <w:rFonts w:hint="default"/>
          <w:sz w:val="28"/>
          <w:szCs w:val="28"/>
          <w:lang w:val="en-US" w:eastAsia="zh-CN"/>
        </w:rPr>
        <w:t>水、电等能源消耗费。</w:t>
      </w:r>
    </w:p>
    <w:p w14:paraId="5771F656">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② </w:t>
      </w:r>
      <w:r>
        <w:rPr>
          <w:rFonts w:hint="default"/>
          <w:sz w:val="28"/>
          <w:szCs w:val="28"/>
          <w:lang w:val="en-US" w:eastAsia="zh-CN"/>
        </w:rPr>
        <w:t>专用设备、设施、变配电设备、给排水设备、电梯、计算机房等设备、配件费用。</w:t>
      </w:r>
    </w:p>
    <w:p w14:paraId="3C8BD928">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③ </w:t>
      </w:r>
      <w:r>
        <w:rPr>
          <w:rFonts w:hint="default"/>
          <w:sz w:val="28"/>
          <w:szCs w:val="28"/>
          <w:lang w:val="en-US" w:eastAsia="zh-CN"/>
        </w:rPr>
        <w:t>特种设备年检费、消防年检费用。</w:t>
      </w:r>
    </w:p>
    <w:p w14:paraId="39DA18B7">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④ </w:t>
      </w:r>
      <w:r>
        <w:rPr>
          <w:rFonts w:hint="default"/>
          <w:sz w:val="28"/>
          <w:szCs w:val="28"/>
          <w:lang w:val="en-US" w:eastAsia="zh-CN"/>
        </w:rPr>
        <w:t>绿化植物租摆服务费。</w:t>
      </w:r>
    </w:p>
    <w:p w14:paraId="7B6A021E">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⑤ </w:t>
      </w:r>
      <w:r>
        <w:rPr>
          <w:rFonts w:hint="default"/>
          <w:sz w:val="28"/>
          <w:szCs w:val="28"/>
          <w:lang w:val="en-US" w:eastAsia="zh-CN"/>
        </w:rPr>
        <w:t>会务保障材料费，如所需的会标制作，席卡、茶水、饮品、茶具、器具及相关设备等。</w:t>
      </w:r>
    </w:p>
    <w:p w14:paraId="2D4BB28A">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eastAsia"/>
          <w:sz w:val="28"/>
          <w:szCs w:val="28"/>
          <w:lang w:val="en-US" w:eastAsia="zh-CN"/>
        </w:rPr>
        <w:t xml:space="preserve">⑥ </w:t>
      </w:r>
      <w:r>
        <w:rPr>
          <w:rFonts w:hint="default"/>
          <w:sz w:val="28"/>
          <w:szCs w:val="28"/>
          <w:lang w:val="en-US" w:eastAsia="zh-CN"/>
        </w:rPr>
        <w:t>其他需要采购人和成交供应商协商的特殊费用。</w:t>
      </w:r>
    </w:p>
    <w:p w14:paraId="1B2D9829">
      <w:pPr>
        <w:keepNext w:val="0"/>
        <w:keepLines w:val="0"/>
        <w:pageBreakBefore w:val="0"/>
        <w:widowControl w:val="0"/>
        <w:numPr>
          <w:ilvl w:val="0"/>
          <w:numId w:val="0"/>
        </w:numPr>
        <w:kinsoku/>
        <w:wordWrap/>
        <w:overflowPunct/>
        <w:topLinePunct w:val="0"/>
        <w:autoSpaceDE/>
        <w:autoSpaceDN/>
        <w:bidi w:val="0"/>
        <w:adjustRightInd/>
        <w:snapToGrid w:val="0"/>
        <w:ind w:leftChars="0" w:firstLine="560" w:firstLineChars="200"/>
        <w:textAlignment w:val="auto"/>
        <w:rPr>
          <w:rFonts w:hint="default"/>
          <w:sz w:val="28"/>
          <w:szCs w:val="28"/>
          <w:lang w:val="en-US" w:eastAsia="zh-CN"/>
        </w:rPr>
      </w:pPr>
      <w:r>
        <w:rPr>
          <w:rFonts w:hint="default"/>
          <w:sz w:val="28"/>
          <w:szCs w:val="28"/>
          <w:lang w:val="en-US" w:eastAsia="zh-CN"/>
        </w:rPr>
        <w:t>供应商应当承担除以上所列场地、设施、设备、材料外，与物业管理服务有关的其他场地、设施、设备、材料等。</w:t>
      </w:r>
    </w:p>
    <w:p w14:paraId="4FA9A16C">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default"/>
          <w:b/>
          <w:bCs/>
          <w:sz w:val="28"/>
          <w:szCs w:val="28"/>
          <w:lang w:val="en-US" w:eastAsia="zh-CN"/>
        </w:rPr>
      </w:pPr>
      <w:bookmarkStart w:id="17" w:name="_Toc23753"/>
      <w:r>
        <w:rPr>
          <w:rFonts w:hint="eastAsia"/>
          <w:b/>
          <w:bCs/>
          <w:sz w:val="28"/>
          <w:szCs w:val="28"/>
          <w:lang w:val="en-US" w:eastAsia="zh-CN"/>
        </w:rPr>
        <w:t>物业服务范围</w:t>
      </w:r>
      <w:bookmarkEnd w:id="17"/>
    </w:p>
    <w:p w14:paraId="2882E301">
      <w:pPr>
        <w:keepNext w:val="0"/>
        <w:keepLines w:val="0"/>
        <w:pageBreakBefore w:val="0"/>
        <w:widowControl w:val="0"/>
        <w:numPr>
          <w:ilvl w:val="0"/>
          <w:numId w:val="3"/>
        </w:numPr>
        <w:kinsoku/>
        <w:wordWrap/>
        <w:overflowPunct/>
        <w:topLinePunct w:val="0"/>
        <w:autoSpaceDE/>
        <w:autoSpaceDN/>
        <w:bidi w:val="0"/>
        <w:adjustRightInd/>
        <w:snapToGrid w:val="0"/>
        <w:ind w:firstLine="560" w:firstLineChars="200"/>
        <w:textAlignment w:val="auto"/>
        <w:rPr>
          <w:rFonts w:hint="eastAsia"/>
          <w:sz w:val="28"/>
          <w:szCs w:val="28"/>
          <w:lang w:val="en-US" w:eastAsia="zh-CN"/>
        </w:rPr>
      </w:pPr>
      <w:r>
        <w:rPr>
          <w:rFonts w:hint="eastAsia"/>
          <w:sz w:val="28"/>
          <w:szCs w:val="28"/>
          <w:lang w:val="en-US" w:eastAsia="zh-CN"/>
        </w:rPr>
        <w:t>物业管理（建筑物）</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29"/>
        <w:gridCol w:w="3959"/>
        <w:gridCol w:w="2451"/>
      </w:tblGrid>
      <w:tr w14:paraId="3239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7" w:type="dxa"/>
            <w:gridSpan w:val="2"/>
            <w:noWrap w:val="0"/>
            <w:vAlign w:val="center"/>
          </w:tcPr>
          <w:p w14:paraId="3D40D3FD">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Calibri" w:hAnsi="Calibri" w:eastAsia="宋体" w:cs="Calibri"/>
                <w:b/>
                <w:bCs/>
                <w:color w:val="auto"/>
                <w:sz w:val="21"/>
                <w:szCs w:val="21"/>
                <w:highlight w:val="none"/>
              </w:rPr>
            </w:pPr>
            <w:r>
              <w:rPr>
                <w:rFonts w:hint="eastAsia" w:ascii="Calibri" w:hAnsi="Calibri" w:cs="Calibri"/>
                <w:b/>
                <w:bCs/>
                <w:sz w:val="21"/>
                <w:szCs w:val="21"/>
                <w:highlight w:val="none"/>
                <w:lang w:val="en-US" w:eastAsia="zh-CN"/>
              </w:rPr>
              <w:t>名称</w:t>
            </w:r>
          </w:p>
        </w:tc>
        <w:tc>
          <w:tcPr>
            <w:tcW w:w="6582" w:type="dxa"/>
            <w:noWrap w:val="0"/>
            <w:vAlign w:val="center"/>
          </w:tcPr>
          <w:p w14:paraId="07CE6617">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Calibri" w:hAnsi="Calibri" w:eastAsia="宋体" w:cs="Calibri"/>
                <w:b/>
                <w:bCs/>
                <w:color w:val="auto"/>
                <w:sz w:val="21"/>
                <w:szCs w:val="21"/>
                <w:highlight w:val="none"/>
                <w:lang w:eastAsia="zh-CN"/>
              </w:rPr>
            </w:pPr>
            <w:r>
              <w:rPr>
                <w:rFonts w:hint="default" w:ascii="Calibri" w:hAnsi="Calibri" w:cs="Calibri"/>
                <w:b/>
                <w:bCs/>
                <w:sz w:val="21"/>
                <w:szCs w:val="21"/>
                <w:highlight w:val="none"/>
              </w:rPr>
              <w:t>明细</w:t>
            </w:r>
          </w:p>
        </w:tc>
        <w:tc>
          <w:tcPr>
            <w:tcW w:w="4075" w:type="dxa"/>
            <w:noWrap w:val="0"/>
            <w:vAlign w:val="center"/>
          </w:tcPr>
          <w:p w14:paraId="660B5F8D">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Calibri" w:hAnsi="Calibri" w:eastAsia="宋体" w:cs="Calibri"/>
                <w:b/>
                <w:bCs/>
                <w:sz w:val="21"/>
                <w:szCs w:val="21"/>
                <w:highlight w:val="none"/>
                <w:lang w:val="en-US" w:eastAsia="zh-CN"/>
              </w:rPr>
            </w:pPr>
            <w:r>
              <w:rPr>
                <w:rFonts w:hint="eastAsia" w:cs="Calibri"/>
                <w:b/>
                <w:bCs/>
                <w:sz w:val="21"/>
                <w:szCs w:val="21"/>
                <w:highlight w:val="none"/>
                <w:lang w:val="en-US" w:eastAsia="zh-CN"/>
              </w:rPr>
              <w:t>服务内容及标准</w:t>
            </w:r>
          </w:p>
        </w:tc>
      </w:tr>
      <w:tr w14:paraId="3EE3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7" w:type="dxa"/>
            <w:gridSpan w:val="2"/>
            <w:noWrap w:val="0"/>
            <w:vAlign w:val="center"/>
          </w:tcPr>
          <w:p w14:paraId="3CB19CE7">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sz w:val="21"/>
                <w:szCs w:val="21"/>
                <w:highlight w:val="none"/>
              </w:rPr>
            </w:pPr>
            <w:r>
              <w:rPr>
                <w:rFonts w:hint="eastAsia" w:ascii="Calibri" w:hAnsi="Calibri" w:cs="Calibri"/>
                <w:sz w:val="21"/>
                <w:szCs w:val="21"/>
                <w:highlight w:val="none"/>
                <w:lang w:val="en-US" w:eastAsia="zh-CN"/>
              </w:rPr>
              <w:t>建筑1名称</w:t>
            </w:r>
          </w:p>
        </w:tc>
        <w:tc>
          <w:tcPr>
            <w:tcW w:w="6582" w:type="dxa"/>
            <w:noWrap w:val="0"/>
            <w:vAlign w:val="center"/>
          </w:tcPr>
          <w:p w14:paraId="6493E25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投资大厦</w:t>
            </w:r>
          </w:p>
        </w:tc>
        <w:tc>
          <w:tcPr>
            <w:tcW w:w="4075" w:type="dxa"/>
            <w:noWrap w:val="0"/>
            <w:vAlign w:val="center"/>
          </w:tcPr>
          <w:p w14:paraId="4A4F12E5">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楷体" w:hAnsi="楷体" w:eastAsia="楷体" w:cs="楷体"/>
                <w:sz w:val="21"/>
                <w:szCs w:val="21"/>
                <w:highlight w:val="none"/>
                <w:lang w:val="en-US" w:eastAsia="zh-CN"/>
              </w:rPr>
            </w:pPr>
          </w:p>
        </w:tc>
      </w:tr>
      <w:tr w14:paraId="3C03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restart"/>
            <w:noWrap w:val="0"/>
            <w:vAlign w:val="center"/>
          </w:tcPr>
          <w:p w14:paraId="40F77575">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sz w:val="21"/>
                <w:szCs w:val="21"/>
                <w:highlight w:val="none"/>
              </w:rPr>
            </w:pPr>
            <w:r>
              <w:rPr>
                <w:rFonts w:hint="eastAsia" w:cs="Calibri"/>
                <w:sz w:val="21"/>
                <w:szCs w:val="21"/>
                <w:highlight w:val="none"/>
                <w:lang w:val="en-US" w:eastAsia="zh-CN"/>
              </w:rPr>
              <w:t>总面积</w:t>
            </w:r>
          </w:p>
        </w:tc>
        <w:tc>
          <w:tcPr>
            <w:tcW w:w="2375" w:type="dxa"/>
            <w:noWrap w:val="0"/>
            <w:vAlign w:val="center"/>
          </w:tcPr>
          <w:p w14:paraId="4EBB12F1">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default" w:ascii="Calibri" w:hAnsi="Calibri" w:cs="Calibri"/>
                <w:sz w:val="21"/>
                <w:szCs w:val="21"/>
                <w:highlight w:val="none"/>
              </w:rPr>
              <w:t>建筑面积</w:t>
            </w:r>
            <w:r>
              <w:rPr>
                <w:rFonts w:hint="default" w:ascii="Calibri" w:hAnsi="Calibri" w:cs="Calibri"/>
                <w:sz w:val="21"/>
                <w:szCs w:val="21"/>
                <w:highlight w:val="none"/>
                <w:lang w:eastAsia="zh-CN"/>
              </w:rPr>
              <w:t>（</w:t>
            </w:r>
            <w:r>
              <w:rPr>
                <w:rFonts w:hint="default" w:ascii="Calibri" w:hAnsi="Calibri" w:cs="Calibri"/>
                <w:sz w:val="21"/>
                <w:szCs w:val="21"/>
                <w:highlight w:val="none"/>
              </w:rPr>
              <w:t>㎡</w:t>
            </w:r>
            <w:r>
              <w:rPr>
                <w:rFonts w:hint="default" w:ascii="Calibri" w:hAnsi="Calibri" w:cs="Calibri"/>
                <w:sz w:val="21"/>
                <w:szCs w:val="21"/>
                <w:highlight w:val="none"/>
                <w:lang w:eastAsia="zh-CN"/>
              </w:rPr>
              <w:t>）</w:t>
            </w:r>
          </w:p>
        </w:tc>
        <w:tc>
          <w:tcPr>
            <w:tcW w:w="6582" w:type="dxa"/>
            <w:noWrap w:val="0"/>
            <w:vAlign w:val="center"/>
          </w:tcPr>
          <w:p w14:paraId="1F98D5B1">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sz w:val="21"/>
                <w:szCs w:val="21"/>
                <w:highlight w:val="none"/>
                <w:lang w:val="en-US" w:eastAsia="zh-CN"/>
              </w:rPr>
              <w:t>6500</w:t>
            </w:r>
            <w:r>
              <w:rPr>
                <w:rFonts w:hint="default" w:ascii="Calibri" w:hAnsi="Calibri" w:cs="Calibri"/>
                <w:sz w:val="21"/>
                <w:szCs w:val="21"/>
                <w:highlight w:val="none"/>
              </w:rPr>
              <w:t>㎡</w:t>
            </w:r>
          </w:p>
        </w:tc>
        <w:tc>
          <w:tcPr>
            <w:tcW w:w="4075" w:type="dxa"/>
            <w:noWrap w:val="0"/>
            <w:vAlign w:val="center"/>
          </w:tcPr>
          <w:p w14:paraId="2086730A">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楷体" w:hAnsi="楷体" w:eastAsia="楷体" w:cs="楷体"/>
                <w:sz w:val="21"/>
                <w:szCs w:val="21"/>
                <w:highlight w:val="none"/>
                <w:lang w:val="en-US" w:eastAsia="zh-CN"/>
              </w:rPr>
            </w:pPr>
            <w:r>
              <w:rPr>
                <w:rFonts w:hint="eastAsia" w:ascii="Calibri" w:hAnsi="Calibri" w:eastAsia="宋体" w:cs="Calibri"/>
                <w:color w:val="auto"/>
                <w:sz w:val="21"/>
                <w:szCs w:val="21"/>
                <w:highlight w:val="none"/>
                <w:lang w:val="en-US" w:eastAsia="zh-CN"/>
              </w:rPr>
              <w:t>见“3.6保安服务”</w:t>
            </w:r>
          </w:p>
        </w:tc>
      </w:tr>
      <w:tr w14:paraId="4A2D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2" w:type="dxa"/>
            <w:vMerge w:val="continue"/>
            <w:noWrap w:val="0"/>
            <w:vAlign w:val="center"/>
          </w:tcPr>
          <w:p w14:paraId="217FBFA3">
            <w:pPr>
              <w:keepNext w:val="0"/>
              <w:keepLines w:val="0"/>
              <w:pageBreakBefore w:val="0"/>
              <w:widowControl w:val="0"/>
              <w:kinsoku/>
              <w:wordWrap/>
              <w:overflowPunct/>
              <w:topLinePunct w:val="0"/>
              <w:autoSpaceDE/>
              <w:autoSpaceDN/>
              <w:bidi w:val="0"/>
              <w:adjustRightInd/>
              <w:snapToGrid w:val="0"/>
              <w:spacing w:line="300" w:lineRule="auto"/>
              <w:ind w:left="0" w:firstLine="0" w:firstLineChars="0"/>
              <w:jc w:val="center"/>
              <w:textAlignment w:val="auto"/>
              <w:rPr>
                <w:rFonts w:hint="default" w:ascii="Calibri" w:hAnsi="Calibri" w:eastAsia="宋体" w:cs="Calibri"/>
                <w:color w:val="auto"/>
                <w:sz w:val="21"/>
                <w:szCs w:val="21"/>
                <w:highlight w:val="none"/>
              </w:rPr>
            </w:pPr>
          </w:p>
        </w:tc>
        <w:tc>
          <w:tcPr>
            <w:tcW w:w="2375" w:type="dxa"/>
            <w:noWrap w:val="0"/>
            <w:vAlign w:val="center"/>
          </w:tcPr>
          <w:p w14:paraId="6D3F495B">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default" w:ascii="Calibri" w:hAnsi="Calibri" w:cs="Calibri"/>
                <w:sz w:val="21"/>
                <w:szCs w:val="21"/>
                <w:highlight w:val="none"/>
              </w:rPr>
              <w:t>需保洁面积</w:t>
            </w:r>
            <w:r>
              <w:rPr>
                <w:rFonts w:hint="default" w:ascii="Calibri" w:hAnsi="Calibri" w:cs="Calibri"/>
                <w:sz w:val="21"/>
                <w:szCs w:val="21"/>
                <w:highlight w:val="none"/>
                <w:lang w:eastAsia="zh-CN"/>
              </w:rPr>
              <w:t>（</w:t>
            </w:r>
            <w:r>
              <w:rPr>
                <w:rFonts w:hint="default" w:ascii="Calibri" w:hAnsi="Calibri" w:cs="Calibri"/>
                <w:sz w:val="21"/>
                <w:szCs w:val="21"/>
                <w:highlight w:val="none"/>
              </w:rPr>
              <w:t>㎡</w:t>
            </w:r>
            <w:r>
              <w:rPr>
                <w:rFonts w:hint="default" w:ascii="Calibri" w:hAnsi="Calibri" w:cs="Calibri"/>
                <w:sz w:val="21"/>
                <w:szCs w:val="21"/>
                <w:highlight w:val="none"/>
                <w:lang w:eastAsia="zh-CN"/>
              </w:rPr>
              <w:t>）</w:t>
            </w:r>
          </w:p>
        </w:tc>
        <w:tc>
          <w:tcPr>
            <w:tcW w:w="6582" w:type="dxa"/>
            <w:noWrap w:val="0"/>
            <w:vAlign w:val="center"/>
          </w:tcPr>
          <w:p w14:paraId="2BEDA1EE">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eastAsia" w:ascii="楷体" w:hAnsi="楷体" w:eastAsia="楷体" w:cs="楷体"/>
                <w:sz w:val="21"/>
                <w:szCs w:val="21"/>
                <w:highlight w:val="none"/>
                <w:lang w:val="en-US" w:eastAsia="zh-CN"/>
              </w:rPr>
              <w:t>6500</w:t>
            </w:r>
            <w:r>
              <w:rPr>
                <w:rFonts w:hint="default" w:ascii="Calibri" w:hAnsi="Calibri" w:cs="Calibri"/>
                <w:sz w:val="21"/>
                <w:szCs w:val="21"/>
                <w:highlight w:val="none"/>
              </w:rPr>
              <w:t>㎡</w:t>
            </w:r>
          </w:p>
        </w:tc>
        <w:tc>
          <w:tcPr>
            <w:tcW w:w="4075" w:type="dxa"/>
            <w:noWrap w:val="0"/>
            <w:vAlign w:val="center"/>
          </w:tcPr>
          <w:p w14:paraId="560262E6">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default" w:ascii="Calibri" w:hAnsi="Calibri" w:eastAsia="宋体" w:cs="Calibri"/>
                <w:color w:val="auto"/>
                <w:kern w:val="2"/>
                <w:sz w:val="21"/>
                <w:szCs w:val="21"/>
                <w:highlight w:val="none"/>
                <w:lang w:val="en-US" w:eastAsia="zh-CN" w:bidi="ar-SA"/>
              </w:rPr>
            </w:pPr>
            <w:r>
              <w:rPr>
                <w:rFonts w:hint="eastAsia" w:eastAsia="宋体" w:cs="Calibri"/>
                <w:color w:val="auto"/>
                <w:kern w:val="2"/>
                <w:sz w:val="21"/>
                <w:szCs w:val="21"/>
                <w:highlight w:val="none"/>
                <w:lang w:val="en-US" w:eastAsia="zh-CN" w:bidi="ar-SA"/>
              </w:rPr>
              <w:t>见“3.4保洁服务”</w:t>
            </w:r>
          </w:p>
        </w:tc>
      </w:tr>
    </w:tbl>
    <w:p w14:paraId="3EE7C6C3">
      <w:pPr>
        <w:keepNext w:val="0"/>
        <w:keepLines w:val="0"/>
        <w:pageBreakBefore w:val="0"/>
        <w:widowControl w:val="0"/>
        <w:kinsoku/>
        <w:wordWrap/>
        <w:overflowPunct/>
        <w:topLinePunct w:val="0"/>
        <w:autoSpaceDE/>
        <w:autoSpaceDN/>
        <w:bidi w:val="0"/>
        <w:adjustRightInd/>
        <w:snapToGrid w:val="0"/>
        <w:textAlignment w:val="auto"/>
        <w:rPr>
          <w:rFonts w:hint="default" w:ascii="Calibri" w:hAnsi="Calibri" w:eastAsia="宋体" w:cs="Calibri"/>
          <w:b/>
          <w:bCs/>
          <w:color w:val="auto"/>
          <w:kern w:val="0"/>
          <w:sz w:val="28"/>
          <w:szCs w:val="28"/>
          <w:highlight w:val="none"/>
          <w:lang w:val="en-US" w:eastAsia="zh-CN"/>
        </w:rPr>
      </w:pPr>
    </w:p>
    <w:p w14:paraId="282342A5">
      <w:pPr>
        <w:keepNext w:val="0"/>
        <w:keepLines w:val="0"/>
        <w:pageBreakBefore w:val="0"/>
        <w:widowControl w:val="0"/>
        <w:numPr>
          <w:ilvl w:val="0"/>
          <w:numId w:val="3"/>
        </w:numPr>
        <w:kinsoku/>
        <w:wordWrap/>
        <w:overflowPunct/>
        <w:topLinePunct w:val="0"/>
        <w:autoSpaceDE/>
        <w:autoSpaceDN/>
        <w:bidi w:val="0"/>
        <w:adjustRightInd/>
        <w:snapToGrid w:val="0"/>
        <w:textAlignment w:val="auto"/>
        <w:rPr>
          <w:rFonts w:hint="default"/>
          <w:sz w:val="28"/>
          <w:szCs w:val="28"/>
          <w:lang w:val="en-US" w:eastAsia="zh-CN"/>
        </w:rPr>
      </w:pPr>
      <w:r>
        <w:rPr>
          <w:rFonts w:hint="eastAsia"/>
          <w:sz w:val="28"/>
          <w:szCs w:val="28"/>
          <w:lang w:val="en-US" w:eastAsia="zh-CN"/>
        </w:rPr>
        <w:t>物业管理（室外）</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3007"/>
        <w:gridCol w:w="3867"/>
      </w:tblGrid>
      <w:tr w14:paraId="265F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6711E930">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sz w:val="21"/>
                <w:szCs w:val="21"/>
                <w:highlight w:val="none"/>
                <w:lang w:val="en-US" w:eastAsia="zh-CN"/>
              </w:rPr>
              <w:t>名称</w:t>
            </w:r>
          </w:p>
        </w:tc>
        <w:tc>
          <w:tcPr>
            <w:tcW w:w="3006" w:type="dxa"/>
            <w:noWrap w:val="0"/>
            <w:vAlign w:val="center"/>
          </w:tcPr>
          <w:p w14:paraId="536E2BE6">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sz w:val="21"/>
                <w:szCs w:val="21"/>
                <w:highlight w:val="none"/>
              </w:rPr>
              <w:t>明细</w:t>
            </w:r>
          </w:p>
        </w:tc>
        <w:tc>
          <w:tcPr>
            <w:tcW w:w="3865" w:type="dxa"/>
            <w:noWrap w:val="0"/>
            <w:vAlign w:val="center"/>
          </w:tcPr>
          <w:p w14:paraId="0A4D468F">
            <w:pPr>
              <w:keepNext w:val="0"/>
              <w:keepLines w:val="0"/>
              <w:pageBreakBefore w:val="0"/>
              <w:widowControl w:val="0"/>
              <w:kinsoku/>
              <w:wordWrap/>
              <w:overflowPunct/>
              <w:topLinePunct w:val="0"/>
              <w:autoSpaceDE/>
              <w:autoSpaceDN/>
              <w:bidi w:val="0"/>
              <w:adjustRightInd/>
              <w:snapToGrid w:val="0"/>
              <w:spacing w:line="300" w:lineRule="auto"/>
              <w:jc w:val="center"/>
              <w:textAlignment w:val="auto"/>
              <w:rPr>
                <w:rFonts w:hint="default" w:ascii="Calibri" w:hAnsi="Calibri" w:cs="Calibri"/>
                <w:b/>
                <w:bCs/>
                <w:sz w:val="21"/>
                <w:szCs w:val="21"/>
                <w:highlight w:val="none"/>
              </w:rPr>
            </w:pPr>
            <w:r>
              <w:rPr>
                <w:rFonts w:hint="eastAsia" w:cs="Calibri"/>
                <w:b/>
                <w:bCs/>
                <w:sz w:val="21"/>
                <w:szCs w:val="21"/>
                <w:highlight w:val="none"/>
                <w:lang w:val="en-US" w:eastAsia="zh-CN"/>
              </w:rPr>
              <w:t>服务内容及标准</w:t>
            </w:r>
          </w:p>
        </w:tc>
      </w:tr>
      <w:tr w14:paraId="5D3A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0589D419">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室外面积</w:t>
            </w:r>
          </w:p>
        </w:tc>
        <w:tc>
          <w:tcPr>
            <w:tcW w:w="3006" w:type="dxa"/>
            <w:noWrap w:val="0"/>
            <w:vAlign w:val="center"/>
          </w:tcPr>
          <w:p w14:paraId="7E7309DB">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约1000</w:t>
            </w:r>
            <w:r>
              <w:rPr>
                <w:rFonts w:hint="default" w:ascii="Calibri" w:hAnsi="Calibri" w:cs="Calibri"/>
                <w:sz w:val="21"/>
                <w:szCs w:val="21"/>
                <w:highlight w:val="none"/>
              </w:rPr>
              <w:t>㎡</w:t>
            </w:r>
          </w:p>
        </w:tc>
        <w:tc>
          <w:tcPr>
            <w:tcW w:w="3865" w:type="dxa"/>
            <w:noWrap w:val="0"/>
            <w:vAlign w:val="center"/>
          </w:tcPr>
          <w:p w14:paraId="54E62C82">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sz w:val="21"/>
                <w:szCs w:val="21"/>
                <w:highlight w:val="none"/>
                <w:lang w:val="en-US" w:eastAsia="zh-CN"/>
              </w:rPr>
              <w:t>“3.6保安服务”</w:t>
            </w:r>
          </w:p>
        </w:tc>
      </w:tr>
      <w:tr w14:paraId="715F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14D269BE">
            <w:pPr>
              <w:keepNext w:val="0"/>
              <w:keepLines w:val="0"/>
              <w:pageBreakBefore w:val="0"/>
              <w:widowControl w:val="0"/>
              <w:kinsoku/>
              <w:wordWrap/>
              <w:overflowPunct/>
              <w:topLinePunct w:val="0"/>
              <w:autoSpaceDE/>
              <w:autoSpaceDN/>
              <w:bidi w:val="0"/>
              <w:adjustRightInd/>
              <w:snapToGrid w:val="0"/>
              <w:jc w:val="both"/>
              <w:textAlignment w:val="auto"/>
              <w:rPr>
                <w:rFonts w:hint="eastAsia"/>
                <w:sz w:val="21"/>
                <w:szCs w:val="21"/>
                <w:highlight w:val="none"/>
                <w:vertAlign w:val="baseline"/>
                <w:lang w:val="en-US" w:eastAsia="zh-CN"/>
              </w:rPr>
            </w:pPr>
            <w:r>
              <w:rPr>
                <w:rFonts w:hint="default" w:ascii="Calibri" w:hAnsi="Calibri" w:cs="Calibri"/>
                <w:sz w:val="21"/>
                <w:szCs w:val="21"/>
                <w:highlight w:val="none"/>
              </w:rPr>
              <w:t>绿化</w:t>
            </w:r>
          </w:p>
        </w:tc>
        <w:tc>
          <w:tcPr>
            <w:tcW w:w="3006" w:type="dxa"/>
            <w:noWrap w:val="0"/>
            <w:vAlign w:val="center"/>
          </w:tcPr>
          <w:p w14:paraId="72631651">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约300</w:t>
            </w:r>
            <w:r>
              <w:rPr>
                <w:rFonts w:hint="default" w:ascii="Calibri" w:hAnsi="Calibri" w:cs="Calibri"/>
                <w:sz w:val="21"/>
                <w:szCs w:val="21"/>
                <w:highlight w:val="none"/>
              </w:rPr>
              <w:t>㎡</w:t>
            </w:r>
          </w:p>
        </w:tc>
        <w:tc>
          <w:tcPr>
            <w:tcW w:w="3865" w:type="dxa"/>
            <w:noWrap w:val="0"/>
            <w:vAlign w:val="center"/>
          </w:tcPr>
          <w:p w14:paraId="2478A796">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见“3.4保洁服务”“3.5绿化服务”</w:t>
            </w:r>
          </w:p>
        </w:tc>
      </w:tr>
      <w:tr w14:paraId="5705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48927296">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垃圾站</w:t>
            </w:r>
          </w:p>
        </w:tc>
        <w:tc>
          <w:tcPr>
            <w:tcW w:w="3006" w:type="dxa"/>
            <w:noWrap w:val="0"/>
            <w:vAlign w:val="center"/>
          </w:tcPr>
          <w:p w14:paraId="5794E4AB">
            <w:pPr>
              <w:keepNext w:val="0"/>
              <w:keepLines w:val="0"/>
              <w:pageBreakBefore w:val="0"/>
              <w:widowControl w:val="0"/>
              <w:kinsoku/>
              <w:wordWrap/>
              <w:overflowPunct/>
              <w:topLinePunct w:val="0"/>
              <w:autoSpaceDE/>
              <w:autoSpaceDN/>
              <w:bidi w:val="0"/>
              <w:adjustRightInd/>
              <w:snapToGrid w:val="0"/>
              <w:jc w:val="both"/>
              <w:textAlignment w:val="auto"/>
              <w:rPr>
                <w:rFonts w:hint="eastAsia"/>
                <w:sz w:val="21"/>
                <w:szCs w:val="21"/>
                <w:highlight w:val="none"/>
                <w:vertAlign w:val="baseline"/>
                <w:lang w:val="en-US" w:eastAsia="zh-CN"/>
              </w:rPr>
            </w:pPr>
            <w:r>
              <w:rPr>
                <w:rFonts w:hint="eastAsia" w:ascii="楷体" w:hAnsi="楷体" w:eastAsia="楷体" w:cs="楷体"/>
                <w:sz w:val="21"/>
                <w:szCs w:val="21"/>
                <w:highlight w:val="none"/>
                <w:lang w:val="en-US" w:eastAsia="zh-CN"/>
              </w:rPr>
              <w:t>1</w:t>
            </w:r>
          </w:p>
        </w:tc>
        <w:tc>
          <w:tcPr>
            <w:tcW w:w="3865" w:type="dxa"/>
            <w:noWrap w:val="0"/>
            <w:vAlign w:val="center"/>
          </w:tcPr>
          <w:p w14:paraId="15809954">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p>
        </w:tc>
      </w:tr>
      <w:tr w14:paraId="2C9A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08A13E8A">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门前三包</w:t>
            </w:r>
          </w:p>
        </w:tc>
        <w:tc>
          <w:tcPr>
            <w:tcW w:w="3006" w:type="dxa"/>
            <w:noWrap w:val="0"/>
            <w:vAlign w:val="center"/>
          </w:tcPr>
          <w:p w14:paraId="0876FCE3">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100</w:t>
            </w:r>
            <w:r>
              <w:rPr>
                <w:rFonts w:hint="default" w:ascii="Calibri" w:hAnsi="Calibri" w:cs="Calibri"/>
                <w:sz w:val="21"/>
                <w:szCs w:val="21"/>
                <w:highlight w:val="none"/>
              </w:rPr>
              <w:t>㎡</w:t>
            </w:r>
          </w:p>
        </w:tc>
        <w:tc>
          <w:tcPr>
            <w:tcW w:w="3865" w:type="dxa"/>
            <w:noWrap w:val="0"/>
            <w:vAlign w:val="center"/>
          </w:tcPr>
          <w:p w14:paraId="42096A34">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p>
        </w:tc>
      </w:tr>
      <w:tr w14:paraId="3FB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8" w:type="dxa"/>
            <w:noWrap w:val="0"/>
            <w:vAlign w:val="center"/>
          </w:tcPr>
          <w:p w14:paraId="714A78CB">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sz w:val="21"/>
                <w:szCs w:val="21"/>
                <w:highlight w:val="none"/>
                <w:vertAlign w:val="baseline"/>
                <w:lang w:val="en-US" w:eastAsia="zh-CN"/>
              </w:rPr>
              <w:t>灯光字</w:t>
            </w:r>
          </w:p>
        </w:tc>
        <w:tc>
          <w:tcPr>
            <w:tcW w:w="3006" w:type="dxa"/>
            <w:noWrap w:val="0"/>
            <w:vAlign w:val="center"/>
          </w:tcPr>
          <w:p w14:paraId="31E9A02E">
            <w:pPr>
              <w:keepNext w:val="0"/>
              <w:keepLines w:val="0"/>
              <w:pageBreakBefore w:val="0"/>
              <w:widowControl w:val="0"/>
              <w:kinsoku/>
              <w:wordWrap/>
              <w:overflowPunct/>
              <w:topLinePunct w:val="0"/>
              <w:autoSpaceDE/>
              <w:autoSpaceDN/>
              <w:bidi w:val="0"/>
              <w:adjustRightInd/>
              <w:snapToGrid w:val="0"/>
              <w:jc w:val="both"/>
              <w:textAlignment w:val="auto"/>
              <w:rPr>
                <w:rFonts w:hint="default"/>
                <w:sz w:val="21"/>
                <w:szCs w:val="21"/>
                <w:highlight w:val="none"/>
                <w:vertAlign w:val="baseline"/>
                <w:lang w:val="en-US" w:eastAsia="zh-CN"/>
              </w:rPr>
            </w:pPr>
            <w:r>
              <w:rPr>
                <w:rFonts w:hint="eastAsia" w:ascii="楷体" w:hAnsi="楷体" w:eastAsia="楷体" w:cs="楷体"/>
                <w:sz w:val="21"/>
                <w:szCs w:val="21"/>
                <w:highlight w:val="none"/>
                <w:lang w:val="en-US" w:eastAsia="zh-CN"/>
              </w:rPr>
              <w:t>1套</w:t>
            </w:r>
          </w:p>
        </w:tc>
        <w:tc>
          <w:tcPr>
            <w:tcW w:w="3865" w:type="dxa"/>
            <w:noWrap w:val="0"/>
            <w:vAlign w:val="center"/>
          </w:tcPr>
          <w:p w14:paraId="3B0D45A5">
            <w:pPr>
              <w:keepNext w:val="0"/>
              <w:keepLines w:val="0"/>
              <w:pageBreakBefore w:val="0"/>
              <w:widowControl w:val="0"/>
              <w:kinsoku/>
              <w:wordWrap/>
              <w:overflowPunct/>
              <w:topLinePunct w:val="0"/>
              <w:autoSpaceDE/>
              <w:autoSpaceDN/>
              <w:bidi w:val="0"/>
              <w:adjustRightInd/>
              <w:snapToGrid w:val="0"/>
              <w:jc w:val="both"/>
              <w:textAlignment w:val="auto"/>
              <w:rPr>
                <w:rFonts w:hint="eastAsia" w:ascii="Calibri" w:hAnsi="Calibri" w:eastAsia="宋体" w:cs="Calibri"/>
                <w:color w:val="auto"/>
                <w:sz w:val="21"/>
                <w:szCs w:val="21"/>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sz w:val="21"/>
                <w:szCs w:val="21"/>
                <w:highlight w:val="none"/>
                <w:lang w:val="en-US" w:eastAsia="zh-CN"/>
              </w:rPr>
              <w:t>“3.3</w:t>
            </w:r>
            <w:r>
              <w:rPr>
                <w:rFonts w:hint="eastAsia" w:cs="Calibri"/>
                <w:color w:val="auto"/>
                <w:sz w:val="21"/>
                <w:szCs w:val="21"/>
                <w:highlight w:val="none"/>
                <w:lang w:val="en-US" w:eastAsia="zh-CN"/>
              </w:rPr>
              <w:t>公用设施</w:t>
            </w:r>
            <w:r>
              <w:rPr>
                <w:rFonts w:hint="eastAsia" w:ascii="Calibri" w:hAnsi="Calibri" w:eastAsia="宋体" w:cs="Calibri"/>
                <w:color w:val="auto"/>
                <w:sz w:val="21"/>
                <w:szCs w:val="21"/>
                <w:highlight w:val="none"/>
                <w:lang w:val="en-US" w:eastAsia="zh-CN"/>
              </w:rPr>
              <w:t>设备维护服务”</w:t>
            </w:r>
          </w:p>
        </w:tc>
      </w:tr>
    </w:tbl>
    <w:p w14:paraId="47ABCFF4">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sz w:val="28"/>
          <w:szCs w:val="28"/>
          <w:lang w:val="en-US" w:eastAsia="zh-CN"/>
        </w:rPr>
      </w:pPr>
    </w:p>
    <w:p w14:paraId="616C4BEA">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eastAsia"/>
          <w:b/>
          <w:bCs/>
          <w:sz w:val="28"/>
          <w:szCs w:val="28"/>
          <w:lang w:val="en-US" w:eastAsia="zh-CN"/>
        </w:rPr>
      </w:pPr>
      <w:bookmarkStart w:id="18" w:name="_Toc19351"/>
      <w:r>
        <w:rPr>
          <w:rFonts w:hint="eastAsia"/>
          <w:b/>
          <w:bCs/>
          <w:sz w:val="28"/>
          <w:szCs w:val="28"/>
          <w:lang w:val="en-US" w:eastAsia="zh-CN"/>
        </w:rPr>
        <w:t>物业服务内容及标准</w:t>
      </w:r>
      <w:bookmarkEnd w:id="18"/>
    </w:p>
    <w:p w14:paraId="67410F5F">
      <w:pPr>
        <w:keepNext w:val="0"/>
        <w:keepLines w:val="0"/>
        <w:pageBreakBefore w:val="0"/>
        <w:widowControl w:val="0"/>
        <w:kinsoku/>
        <w:wordWrap/>
        <w:overflowPunct/>
        <w:topLinePunct w:val="0"/>
        <w:autoSpaceDE/>
        <w:autoSpaceDN/>
        <w:bidi w:val="0"/>
        <w:adjustRightInd/>
        <w:snapToGrid w:val="0"/>
        <w:spacing w:line="240" w:lineRule="auto"/>
        <w:ind w:left="0" w:leftChars="0" w:firstLine="560" w:firstLineChars="200"/>
        <w:textAlignment w:val="auto"/>
        <w:outlineLvl w:val="9"/>
        <w:rPr>
          <w:rFonts w:hint="eastAsia" w:ascii="宋体" w:hAnsi="宋体" w:eastAsia="宋体" w:cs="宋体"/>
          <w:sz w:val="28"/>
          <w:szCs w:val="28"/>
          <w:highlight w:val="none"/>
          <w:lang w:val="en-US" w:eastAsia="zh-CN"/>
        </w:rPr>
      </w:pPr>
      <w:r>
        <w:rPr>
          <w:rFonts w:hint="eastAsia" w:ascii="宋体" w:hAnsi="宋体" w:eastAsia="宋体" w:cs="宋体"/>
          <w:color w:val="auto"/>
          <w:kern w:val="2"/>
          <w:sz w:val="28"/>
          <w:szCs w:val="28"/>
          <w:highlight w:val="none"/>
          <w:u w:val="none"/>
          <w:lang w:val="en-US" w:eastAsia="zh-CN" w:bidi="ar-SA"/>
        </w:rPr>
        <w:t>物业管理服务包括基本服务、房屋维护服务、公用设施设备维护服务、保洁服务、绿化服务、保安服务、会议服务等。</w:t>
      </w:r>
    </w:p>
    <w:p w14:paraId="1B925BCB">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sz w:val="28"/>
          <w:szCs w:val="28"/>
          <w:lang w:val="en-US" w:eastAsia="zh-CN"/>
        </w:rPr>
      </w:pPr>
      <w:bookmarkStart w:id="19" w:name="_Toc16731"/>
      <w:r>
        <w:rPr>
          <w:rFonts w:hint="eastAsia"/>
          <w:sz w:val="28"/>
          <w:szCs w:val="28"/>
          <w:lang w:val="en-US" w:eastAsia="zh-CN"/>
        </w:rPr>
        <w:t>基本服务</w:t>
      </w:r>
      <w:bookmarkEnd w:id="19"/>
    </w:p>
    <w:tbl>
      <w:tblPr>
        <w:tblStyle w:val="2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685"/>
        <w:gridCol w:w="6377"/>
      </w:tblGrid>
      <w:tr w14:paraId="2E01B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l2br w:val="nil"/>
              <w:tr2bl w:val="nil"/>
            </w:tcBorders>
            <w:noWrap w:val="0"/>
            <w:tcMar>
              <w:top w:w="-1" w:type="dxa"/>
              <w:left w:w="-1" w:type="dxa"/>
              <w:bottom w:w="-1" w:type="dxa"/>
              <w:right w:w="-1" w:type="dxa"/>
            </w:tcMar>
            <w:vAlign w:val="center"/>
          </w:tcPr>
          <w:p w14:paraId="22CF9338">
            <w:pPr>
              <w:pStyle w:val="4"/>
              <w:snapToGrid w:val="0"/>
              <w:spacing w:line="240" w:lineRule="auto"/>
              <w:ind w:left="0" w:leftChars="0" w:right="0" w:rightChars="0" w:firstLine="0" w:firstLineChars="0"/>
              <w:jc w:val="center"/>
              <w:rPr>
                <w:rFonts w:hint="default"/>
                <w:b/>
                <w:lang w:val="en-US" w:eastAsia="zh-CN"/>
              </w:rPr>
            </w:pPr>
          </w:p>
        </w:tc>
        <w:tc>
          <w:tcPr>
            <w:tcW w:w="0" w:type="auto"/>
            <w:tcBorders>
              <w:tl2br w:val="nil"/>
              <w:tr2bl w:val="nil"/>
            </w:tcBorders>
            <w:noWrap w:val="0"/>
            <w:tcMar>
              <w:top w:w="-1" w:type="dxa"/>
              <w:left w:w="-1" w:type="dxa"/>
              <w:bottom w:w="-1" w:type="dxa"/>
              <w:right w:w="-1" w:type="dxa"/>
            </w:tcMar>
            <w:vAlign w:val="center"/>
          </w:tcPr>
          <w:p w14:paraId="3473CFB5">
            <w:pPr>
              <w:pageBreakBefore w:val="0"/>
              <w:widowControl/>
              <w:kinsoku/>
              <w:wordWrap/>
              <w:overflowPunct/>
              <w:topLinePunct w:val="0"/>
              <w:bidi w:val="0"/>
              <w:snapToGrid w:val="0"/>
              <w:spacing w:line="240" w:lineRule="auto"/>
              <w:ind w:left="0" w:leftChars="0" w:right="0" w:rightChars="0" w:firstLine="0" w:firstLine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377" w:type="dxa"/>
            <w:tcBorders>
              <w:tl2br w:val="nil"/>
              <w:tr2bl w:val="nil"/>
            </w:tcBorders>
            <w:noWrap w:val="0"/>
            <w:tcMar>
              <w:top w:w="-1" w:type="dxa"/>
              <w:left w:w="-1" w:type="dxa"/>
              <w:bottom w:w="-1" w:type="dxa"/>
              <w:right w:w="-1" w:type="dxa"/>
            </w:tcMar>
            <w:vAlign w:val="center"/>
          </w:tcPr>
          <w:p w14:paraId="404B37F1">
            <w:pPr>
              <w:pageBreakBefore w:val="0"/>
              <w:widowControl/>
              <w:kinsoku/>
              <w:wordWrap/>
              <w:overflowPunct/>
              <w:topLinePunct w:val="0"/>
              <w:bidi w:val="0"/>
              <w:snapToGrid w:val="0"/>
              <w:spacing w:line="240" w:lineRule="auto"/>
              <w:ind w:left="0" w:leftChars="0" w:right="0" w:rightChars="0" w:firstLine="0" w:firstLineChars="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14:paraId="47344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l2br w:val="nil"/>
              <w:tr2bl w:val="nil"/>
            </w:tcBorders>
            <w:noWrap w:val="0"/>
            <w:tcMar>
              <w:top w:w="-1" w:type="dxa"/>
              <w:left w:w="-1" w:type="dxa"/>
              <w:bottom w:w="-1" w:type="dxa"/>
              <w:right w:w="-1" w:type="dxa"/>
            </w:tcMar>
            <w:vAlign w:val="center"/>
          </w:tcPr>
          <w:p w14:paraId="2D2545D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0" w:type="auto"/>
            <w:tcBorders>
              <w:tl2br w:val="nil"/>
              <w:tr2bl w:val="nil"/>
            </w:tcBorders>
            <w:noWrap w:val="0"/>
            <w:tcMar>
              <w:top w:w="-1" w:type="dxa"/>
              <w:left w:w="-1" w:type="dxa"/>
              <w:bottom w:w="-1" w:type="dxa"/>
              <w:right w:w="-1" w:type="dxa"/>
            </w:tcMar>
            <w:vAlign w:val="center"/>
          </w:tcPr>
          <w:p w14:paraId="49AAEDF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6377" w:type="dxa"/>
            <w:tcBorders>
              <w:tl2br w:val="nil"/>
              <w:tr2bl w:val="nil"/>
            </w:tcBorders>
            <w:noWrap w:val="0"/>
            <w:tcMar>
              <w:top w:w="-1" w:type="dxa"/>
              <w:left w:w="-1" w:type="dxa"/>
              <w:bottom w:w="-1" w:type="dxa"/>
              <w:right w:w="-1" w:type="dxa"/>
            </w:tcMar>
            <w:vAlign w:val="center"/>
          </w:tcPr>
          <w:p w14:paraId="57CC04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lang w:val="en-US" w:eastAsia="zh-CN"/>
              </w:rPr>
            </w:pPr>
            <w:r>
              <w:rPr>
                <w:rFonts w:hint="eastAsia" w:cs="Calibri"/>
                <w:b w:val="0"/>
                <w:bCs w:val="0"/>
                <w:color w:val="auto"/>
                <w:kern w:val="0"/>
                <w:szCs w:val="21"/>
                <w:highlight w:val="none"/>
                <w:lang w:val="en-US" w:eastAsia="zh-CN"/>
              </w:rPr>
              <w:t>（1）结合采购人要求及大厦实际制定年度物业管理目标，明确责任分工并制定配套实施方案，定期向采购人汇报服务落实情况。</w:t>
            </w:r>
          </w:p>
        </w:tc>
      </w:tr>
      <w:tr w14:paraId="1BD89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6E40521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0" w:type="auto"/>
            <w:vMerge w:val="restart"/>
            <w:tcBorders>
              <w:tl2br w:val="nil"/>
              <w:tr2bl w:val="nil"/>
            </w:tcBorders>
            <w:noWrap w:val="0"/>
            <w:tcMar>
              <w:top w:w="-1" w:type="dxa"/>
              <w:left w:w="-1" w:type="dxa"/>
              <w:bottom w:w="-1" w:type="dxa"/>
              <w:right w:w="-1" w:type="dxa"/>
            </w:tcMar>
            <w:vAlign w:val="center"/>
          </w:tcPr>
          <w:p w14:paraId="46C415B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6377" w:type="dxa"/>
            <w:tcBorders>
              <w:tl2br w:val="nil"/>
              <w:tr2bl w:val="nil"/>
            </w:tcBorders>
            <w:noWrap w:val="0"/>
            <w:tcMar>
              <w:top w:w="-1" w:type="dxa"/>
              <w:left w:w="-1" w:type="dxa"/>
              <w:bottom w:w="-1" w:type="dxa"/>
              <w:right w:w="-1" w:type="dxa"/>
            </w:tcMar>
            <w:vAlign w:val="center"/>
          </w:tcPr>
          <w:p w14:paraId="0F1765A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hAnsi="Calibri" w:eastAsia="宋体" w:cs="Calibri"/>
                <w:b w:val="0"/>
                <w:bCs w:val="0"/>
                <w:color w:val="auto"/>
                <w:kern w:val="0"/>
                <w:szCs w:val="21"/>
                <w:highlight w:val="none"/>
                <w:lang w:val="en-US" w:eastAsia="zh-CN"/>
              </w:rPr>
            </w:pPr>
            <w:r>
              <w:rPr>
                <w:rFonts w:hint="eastAsia"/>
                <w:lang w:eastAsia="zh-CN"/>
              </w:rPr>
              <w:t>（</w:t>
            </w:r>
            <w:r>
              <w:rPr>
                <w:rFonts w:hint="eastAsia"/>
                <w:lang w:val="en-US" w:eastAsia="zh-CN"/>
              </w:rPr>
              <w:t>1</w:t>
            </w:r>
            <w:r>
              <w:rPr>
                <w:rFonts w:hint="eastAsia"/>
                <w:lang w:eastAsia="zh-CN"/>
              </w:rPr>
              <w:t>）</w:t>
            </w:r>
            <w:r>
              <w:t>每季度至少开展1次岗位技能、职业素质、保密知识、绿色节能环保等教育培训并考核，留存培训及考核记录</w:t>
            </w:r>
            <w:r>
              <w:rPr>
                <w:rFonts w:hint="eastAsia"/>
                <w:lang w:eastAsia="zh-CN"/>
              </w:rPr>
              <w:t>。</w:t>
            </w:r>
          </w:p>
        </w:tc>
      </w:tr>
      <w:tr w14:paraId="7F252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34703BCB">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2618D3F4">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6429D6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对所有服务人员进行从业资格审查，审查结果向采购人报备；特种作业人员持证上岗</w:t>
            </w:r>
            <w:r>
              <w:rPr>
                <w:rFonts w:hint="eastAsia" w:cs="Calibri"/>
                <w:b w:val="0"/>
                <w:bCs w:val="0"/>
                <w:color w:val="auto"/>
                <w:kern w:val="0"/>
                <w:szCs w:val="21"/>
                <w:highlight w:val="none"/>
                <w:lang w:val="en-US" w:eastAsia="zh-CN"/>
              </w:rPr>
              <w:t>。</w:t>
            </w:r>
          </w:p>
        </w:tc>
      </w:tr>
      <w:tr w14:paraId="669DB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4B7D03CA">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7BC03DA8">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0772829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采购人认为服务人员不适应岗位的，可要求供应商7日内完成调换；供应商自行调换人员的，需经采购人同意，年度调换比例不超过服务人员总数的20%，所有服务人员不得在其他项目兼职</w:t>
            </w:r>
            <w:r>
              <w:rPr>
                <w:rFonts w:hint="eastAsia" w:cs="Calibri"/>
                <w:b w:val="0"/>
                <w:bCs w:val="0"/>
                <w:color w:val="auto"/>
                <w:kern w:val="0"/>
                <w:szCs w:val="21"/>
                <w:highlight w:val="none"/>
                <w:lang w:val="en-US" w:eastAsia="zh-CN"/>
              </w:rPr>
              <w:t>。</w:t>
            </w:r>
          </w:p>
        </w:tc>
      </w:tr>
      <w:tr w14:paraId="0C5F2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B2FA3F4">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1AB3C18E">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3D886D8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服务人员着装统一、佩戴标识，仪容整洁、工作规范、作风严谨、用语文明，态度温和耐心。</w:t>
            </w:r>
          </w:p>
        </w:tc>
      </w:tr>
      <w:tr w14:paraId="30AAC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282BC50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0" w:type="auto"/>
            <w:vMerge w:val="restart"/>
            <w:tcBorders>
              <w:tl2br w:val="nil"/>
              <w:tr2bl w:val="nil"/>
            </w:tcBorders>
            <w:noWrap w:val="0"/>
            <w:tcMar>
              <w:top w:w="-1" w:type="dxa"/>
              <w:left w:w="-1" w:type="dxa"/>
              <w:bottom w:w="-1" w:type="dxa"/>
              <w:right w:w="-1" w:type="dxa"/>
            </w:tcMar>
            <w:vAlign w:val="center"/>
          </w:tcPr>
          <w:p w14:paraId="439E358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保密教育</w:t>
            </w:r>
          </w:p>
        </w:tc>
        <w:tc>
          <w:tcPr>
            <w:tcW w:w="6377" w:type="dxa"/>
            <w:tcBorders>
              <w:tl2br w:val="nil"/>
              <w:tr2bl w:val="nil"/>
            </w:tcBorders>
            <w:noWrap w:val="0"/>
            <w:tcMar>
              <w:top w:w="-1" w:type="dxa"/>
              <w:left w:w="-1" w:type="dxa"/>
              <w:bottom w:w="-1" w:type="dxa"/>
              <w:right w:w="-1" w:type="dxa"/>
            </w:tcMar>
            <w:vAlign w:val="center"/>
          </w:tcPr>
          <w:p w14:paraId="4EF40D2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w:t>
            </w:r>
            <w:r>
              <w:rPr>
                <w:rFonts w:hint="eastAsia" w:cs="Calibri"/>
                <w:b w:val="0"/>
                <w:bCs w:val="0"/>
                <w:color w:val="auto"/>
                <w:kern w:val="0"/>
                <w:szCs w:val="21"/>
                <w:highlight w:val="none"/>
                <w:lang w:val="en-US" w:eastAsia="zh-CN"/>
              </w:rPr>
              <w:t>开评标区</w:t>
            </w:r>
            <w:r>
              <w:rPr>
                <w:rFonts w:hint="default" w:ascii="Calibri" w:hAnsi="Calibri" w:eastAsia="宋体" w:cs="Calibri"/>
                <w:b w:val="0"/>
                <w:bCs w:val="0"/>
                <w:color w:val="auto"/>
                <w:kern w:val="0"/>
                <w:szCs w:val="21"/>
                <w:highlight w:val="none"/>
                <w:lang w:val="en-US" w:eastAsia="zh-CN"/>
              </w:rPr>
              <w:t>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14:paraId="00357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A4C415D">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557ED1C">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14308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14:paraId="5AA3B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A429E98">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00CF993B">
            <w:pPr>
              <w:bidi w:val="0"/>
              <w:snapToGrid w:val="0"/>
              <w:spacing w:line="240" w:lineRule="auto"/>
              <w:ind w:left="0" w:leftChars="0" w:right="0" w:rightChars="0" w:firstLine="0" w:firstLineChars="0"/>
              <w:jc w:val="center"/>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EB135C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w:t>
            </w:r>
          </w:p>
        </w:tc>
      </w:tr>
      <w:tr w14:paraId="321D1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29EED93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0" w:type="auto"/>
            <w:vMerge w:val="restart"/>
            <w:tcBorders>
              <w:tl2br w:val="nil"/>
              <w:tr2bl w:val="nil"/>
            </w:tcBorders>
            <w:noWrap w:val="0"/>
            <w:tcMar>
              <w:top w:w="-1" w:type="dxa"/>
              <w:left w:w="-1" w:type="dxa"/>
              <w:bottom w:w="-1" w:type="dxa"/>
              <w:right w:w="-1" w:type="dxa"/>
            </w:tcMar>
            <w:vAlign w:val="center"/>
          </w:tcPr>
          <w:p w14:paraId="1DA91D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6377" w:type="dxa"/>
            <w:tcBorders>
              <w:tl2br w:val="nil"/>
              <w:tr2bl w:val="nil"/>
            </w:tcBorders>
            <w:noWrap w:val="0"/>
            <w:tcMar>
              <w:top w:w="-1" w:type="dxa"/>
              <w:left w:w="-1" w:type="dxa"/>
              <w:bottom w:w="-1" w:type="dxa"/>
              <w:right w:w="-1" w:type="dxa"/>
            </w:tcMar>
            <w:vAlign w:val="center"/>
          </w:tcPr>
          <w:p w14:paraId="281047A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14:paraId="0D556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60EDDB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6BF6B18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706EEC7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：监控记录、突发事件演习与处置记录等。⑤保洁服务：工作日志、清洁检查表、用品清单等。⑥绿化服务：清洁整改记录、消杀记录等。</w:t>
            </w:r>
          </w:p>
        </w:tc>
      </w:tr>
      <w:tr w14:paraId="2F3BE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FE08440">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3AEA8B0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441E4E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14:paraId="7DCE9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670B872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138A4F4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EE501C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（4）履约结束后，相关资料交还采购人，采购人按政府采购相关规定存档。</w:t>
            </w:r>
          </w:p>
        </w:tc>
      </w:tr>
      <w:tr w14:paraId="5CC67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6AEC2AA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5</w:t>
            </w:r>
          </w:p>
        </w:tc>
        <w:tc>
          <w:tcPr>
            <w:tcW w:w="0" w:type="auto"/>
            <w:vMerge w:val="restart"/>
            <w:tcBorders>
              <w:tl2br w:val="nil"/>
              <w:tr2bl w:val="nil"/>
            </w:tcBorders>
            <w:noWrap w:val="0"/>
            <w:tcMar>
              <w:top w:w="-1" w:type="dxa"/>
              <w:left w:w="-1" w:type="dxa"/>
              <w:bottom w:w="-1" w:type="dxa"/>
              <w:right w:w="-1" w:type="dxa"/>
            </w:tcMar>
            <w:vAlign w:val="center"/>
          </w:tcPr>
          <w:p w14:paraId="0F22F06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其他服务</w:t>
            </w:r>
          </w:p>
        </w:tc>
        <w:tc>
          <w:tcPr>
            <w:tcW w:w="6377" w:type="dxa"/>
            <w:tcBorders>
              <w:tl2br w:val="nil"/>
              <w:tr2bl w:val="nil"/>
            </w:tcBorders>
            <w:noWrap w:val="0"/>
            <w:tcMar>
              <w:top w:w="-1" w:type="dxa"/>
              <w:left w:w="-1" w:type="dxa"/>
              <w:bottom w:w="-1" w:type="dxa"/>
              <w:right w:w="-1" w:type="dxa"/>
            </w:tcMar>
            <w:vAlign w:val="center"/>
          </w:tcPr>
          <w:p w14:paraId="00E053A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（1）建立（水电）能耗登记制度，做好记录，按时代缴水电费，每季度据实与业主结算一次，结算时应附缴费票据等相关证明材料。</w:t>
            </w:r>
          </w:p>
        </w:tc>
      </w:tr>
      <w:tr w14:paraId="7F749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7E0E629E">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27F362B6">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213A1D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（2）做好办公等零星维修服务工作，维修只收取材料费，不计人工费</w:t>
            </w:r>
          </w:p>
        </w:tc>
      </w:tr>
      <w:tr w14:paraId="542F0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589D9CD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0" w:type="auto"/>
            <w:vMerge w:val="restart"/>
            <w:tcBorders>
              <w:tl2br w:val="nil"/>
              <w:tr2bl w:val="nil"/>
            </w:tcBorders>
            <w:noWrap w:val="0"/>
            <w:tcMar>
              <w:top w:w="-1" w:type="dxa"/>
              <w:left w:w="-1" w:type="dxa"/>
              <w:bottom w:w="-1" w:type="dxa"/>
              <w:right w:w="-1" w:type="dxa"/>
            </w:tcMar>
            <w:vAlign w:val="center"/>
          </w:tcPr>
          <w:p w14:paraId="0598DCB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rPr>
              <w:t>重大活动后勤保障</w:t>
            </w:r>
          </w:p>
        </w:tc>
        <w:tc>
          <w:tcPr>
            <w:tcW w:w="6377" w:type="dxa"/>
            <w:tcBorders>
              <w:tl2br w:val="nil"/>
              <w:tr2bl w:val="nil"/>
            </w:tcBorders>
            <w:noWrap w:val="0"/>
            <w:tcMar>
              <w:top w:w="-1" w:type="dxa"/>
              <w:left w:w="-1" w:type="dxa"/>
              <w:bottom w:w="-1" w:type="dxa"/>
              <w:right w:w="-1" w:type="dxa"/>
            </w:tcMar>
            <w:vAlign w:val="center"/>
          </w:tcPr>
          <w:p w14:paraId="00E61E0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14:paraId="23EA5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258228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90A06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674B50F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4CD80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0A4554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eastAsia" w:cs="Calibri"/>
                <w:color w:val="auto"/>
                <w:kern w:val="0"/>
                <w:szCs w:val="21"/>
                <w:highlight w:val="none"/>
                <w:lang w:val="en-US" w:eastAsia="zh-CN"/>
              </w:rPr>
              <w:t>8</w:t>
            </w:r>
          </w:p>
        </w:tc>
        <w:tc>
          <w:tcPr>
            <w:tcW w:w="0" w:type="auto"/>
            <w:vMerge w:val="restart"/>
            <w:tcBorders>
              <w:tl2br w:val="nil"/>
              <w:tr2bl w:val="nil"/>
            </w:tcBorders>
            <w:noWrap w:val="0"/>
            <w:tcMar>
              <w:top w:w="-1" w:type="dxa"/>
              <w:left w:w="-1" w:type="dxa"/>
              <w:bottom w:w="-1" w:type="dxa"/>
              <w:right w:w="-1" w:type="dxa"/>
            </w:tcMar>
            <w:vAlign w:val="center"/>
          </w:tcPr>
          <w:p w14:paraId="5A4309C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6377" w:type="dxa"/>
            <w:tcBorders>
              <w:tl2br w:val="nil"/>
              <w:tr2bl w:val="nil"/>
            </w:tcBorders>
            <w:noWrap w:val="0"/>
            <w:tcMar>
              <w:top w:w="-1" w:type="dxa"/>
              <w:left w:w="-1" w:type="dxa"/>
              <w:bottom w:w="-1" w:type="dxa"/>
              <w:right w:w="-1" w:type="dxa"/>
            </w:tcMar>
            <w:vAlign w:val="center"/>
          </w:tcPr>
          <w:p w14:paraId="1DC6B8C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14:paraId="31412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241EDE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09AD6E6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0BE832D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14:paraId="7D3E7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673F0161">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r>
              <w:rPr>
                <w:rFonts w:hint="eastAsia" w:cs="Calibri"/>
                <w:highlight w:val="none"/>
                <w:lang w:val="en-US" w:eastAsia="zh-CN"/>
              </w:rPr>
              <w:t>9</w:t>
            </w:r>
          </w:p>
        </w:tc>
        <w:tc>
          <w:tcPr>
            <w:tcW w:w="0" w:type="auto"/>
            <w:vMerge w:val="restart"/>
            <w:tcBorders>
              <w:tl2br w:val="nil"/>
              <w:tr2bl w:val="nil"/>
            </w:tcBorders>
            <w:noWrap w:val="0"/>
            <w:tcMar>
              <w:top w:w="-1" w:type="dxa"/>
              <w:left w:w="-1" w:type="dxa"/>
              <w:bottom w:w="-1" w:type="dxa"/>
              <w:right w:w="-1" w:type="dxa"/>
            </w:tcMar>
            <w:vAlign w:val="center"/>
          </w:tcPr>
          <w:p w14:paraId="47218177">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6377" w:type="dxa"/>
            <w:tcBorders>
              <w:tl2br w:val="nil"/>
              <w:tr2bl w:val="nil"/>
            </w:tcBorders>
            <w:noWrap w:val="0"/>
            <w:tcMar>
              <w:top w:w="-1" w:type="dxa"/>
              <w:left w:w="-1" w:type="dxa"/>
              <w:bottom w:w="-1" w:type="dxa"/>
              <w:right w:w="-1" w:type="dxa"/>
            </w:tcMar>
            <w:vAlign w:val="center"/>
          </w:tcPr>
          <w:p w14:paraId="2B1C8408">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14:paraId="62F8C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1713A62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4C5ED0B">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4046B50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14:paraId="2F912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2D1CD17D">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46D07749">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5FDB19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14:paraId="439F5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46B0AF7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10</w:t>
            </w:r>
          </w:p>
        </w:tc>
        <w:tc>
          <w:tcPr>
            <w:tcW w:w="0" w:type="auto"/>
            <w:vMerge w:val="restart"/>
            <w:tcBorders>
              <w:tl2br w:val="nil"/>
              <w:tr2bl w:val="nil"/>
            </w:tcBorders>
            <w:noWrap w:val="0"/>
            <w:tcMar>
              <w:top w:w="-1" w:type="dxa"/>
              <w:left w:w="-1" w:type="dxa"/>
              <w:bottom w:w="-1" w:type="dxa"/>
              <w:right w:w="-1" w:type="dxa"/>
            </w:tcMar>
            <w:vAlign w:val="center"/>
          </w:tcPr>
          <w:p w14:paraId="52F10F3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r>
              <w:rPr>
                <w:rFonts w:hint="eastAsia" w:ascii="Calibri" w:hAnsi="Calibri" w:eastAsia="宋体" w:cs="Calibri"/>
                <w:b w:val="0"/>
                <w:bCs w:val="0"/>
                <w:color w:val="auto"/>
                <w:kern w:val="0"/>
                <w:szCs w:val="21"/>
                <w:highlight w:val="none"/>
                <w:lang w:val="en-US" w:eastAsia="zh-CN"/>
              </w:rPr>
              <w:t>对</w:t>
            </w:r>
            <w:r>
              <w:rPr>
                <w:rFonts w:hint="eastAsia" w:cs="Calibri"/>
                <w:b w:val="0"/>
                <w:bCs w:val="0"/>
                <w:color w:val="auto"/>
                <w:kern w:val="0"/>
                <w:szCs w:val="21"/>
                <w:highlight w:val="none"/>
                <w:lang w:val="en-US" w:eastAsia="zh-CN"/>
              </w:rPr>
              <w:t>报刊、杂志快递</w:t>
            </w:r>
            <w:r>
              <w:rPr>
                <w:rFonts w:hint="eastAsia" w:ascii="Calibri" w:hAnsi="Calibri" w:eastAsia="宋体" w:cs="Calibri"/>
                <w:b w:val="0"/>
                <w:bCs w:val="0"/>
                <w:color w:val="auto"/>
                <w:kern w:val="0"/>
                <w:szCs w:val="21"/>
                <w:highlight w:val="none"/>
                <w:lang w:val="en-US" w:eastAsia="zh-CN"/>
              </w:rPr>
              <w:t>、包裹和</w:t>
            </w:r>
            <w:r>
              <w:rPr>
                <w:rFonts w:hint="eastAsia" w:cs="Calibri"/>
                <w:b w:val="0"/>
                <w:bCs w:val="0"/>
                <w:color w:val="auto"/>
                <w:kern w:val="0"/>
                <w:szCs w:val="21"/>
                <w:highlight w:val="none"/>
                <w:lang w:val="en-US" w:eastAsia="zh-CN"/>
              </w:rPr>
              <w:t>信件</w:t>
            </w:r>
            <w:r>
              <w:rPr>
                <w:rFonts w:hint="eastAsia" w:ascii="Calibri" w:hAnsi="Calibri" w:eastAsia="宋体" w:cs="Calibri"/>
                <w:b w:val="0"/>
                <w:bCs w:val="0"/>
                <w:color w:val="auto"/>
                <w:kern w:val="0"/>
                <w:szCs w:val="21"/>
                <w:highlight w:val="none"/>
                <w:lang w:val="en-US" w:eastAsia="zh-CN"/>
              </w:rPr>
              <w:t>等进行</w:t>
            </w:r>
            <w:r>
              <w:rPr>
                <w:rFonts w:hint="eastAsia" w:cs="Calibri"/>
                <w:b w:val="0"/>
                <w:bCs w:val="0"/>
                <w:color w:val="auto"/>
                <w:kern w:val="0"/>
                <w:szCs w:val="21"/>
                <w:highlight w:val="none"/>
                <w:lang w:val="en-US" w:eastAsia="zh-CN"/>
              </w:rPr>
              <w:t>正确分理和妥善管理。</w:t>
            </w:r>
          </w:p>
        </w:tc>
        <w:tc>
          <w:tcPr>
            <w:tcW w:w="6377" w:type="dxa"/>
            <w:tcBorders>
              <w:tl2br w:val="nil"/>
              <w:tr2bl w:val="nil"/>
            </w:tcBorders>
            <w:noWrap w:val="0"/>
            <w:tcMar>
              <w:top w:w="-1" w:type="dxa"/>
              <w:left w:w="-1" w:type="dxa"/>
              <w:bottom w:w="-1" w:type="dxa"/>
              <w:right w:w="-1" w:type="dxa"/>
            </w:tcMar>
            <w:vAlign w:val="center"/>
          </w:tcPr>
          <w:p w14:paraId="5246B23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Cs/>
                <w:color w:val="auto"/>
                <w:szCs w:val="21"/>
                <w:highlight w:val="none"/>
                <w:lang w:val="en-US"/>
              </w:rPr>
            </w:pPr>
            <w:r>
              <w:rPr>
                <w:rFonts w:hint="eastAsia" w:cs="Calibri"/>
                <w:b w:val="0"/>
                <w:bCs w:val="0"/>
                <w:color w:val="auto"/>
                <w:kern w:val="0"/>
                <w:szCs w:val="21"/>
                <w:highlight w:val="none"/>
                <w:lang w:val="en-US" w:eastAsia="zh-CN"/>
              </w:rPr>
              <w:t>（1）报刊杂志正确及时分发。</w:t>
            </w:r>
          </w:p>
        </w:tc>
      </w:tr>
      <w:tr w14:paraId="06835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0F64CA0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06446353">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3F707D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w:t>
            </w:r>
            <w:r>
              <w:rPr>
                <w:rFonts w:hint="eastAsia" w:cs="Calibri"/>
                <w:b w:val="0"/>
                <w:bCs w:val="0"/>
                <w:color w:val="auto"/>
                <w:kern w:val="0"/>
                <w:szCs w:val="21"/>
                <w:highlight w:val="none"/>
                <w:lang w:val="en-US" w:eastAsia="zh-CN"/>
              </w:rPr>
              <w:t>快递</w:t>
            </w:r>
            <w:r>
              <w:rPr>
                <w:rFonts w:hint="eastAsia" w:ascii="Calibri" w:hAnsi="Calibri" w:eastAsia="宋体" w:cs="Calibri"/>
                <w:b w:val="0"/>
                <w:bCs w:val="0"/>
                <w:color w:val="auto"/>
                <w:kern w:val="0"/>
                <w:szCs w:val="21"/>
                <w:highlight w:val="none"/>
                <w:lang w:val="en-US" w:eastAsia="zh-CN"/>
              </w:rPr>
              <w:t>、包裹和</w:t>
            </w:r>
            <w:r>
              <w:rPr>
                <w:rFonts w:hint="eastAsia" w:cs="Calibri"/>
                <w:b w:val="0"/>
                <w:bCs w:val="0"/>
                <w:color w:val="auto"/>
                <w:kern w:val="0"/>
                <w:szCs w:val="21"/>
                <w:highlight w:val="none"/>
                <w:lang w:val="en-US" w:eastAsia="zh-CN"/>
              </w:rPr>
              <w:t>信件</w:t>
            </w:r>
            <w:r>
              <w:rPr>
                <w:rFonts w:hint="eastAsia" w:ascii="Calibri" w:hAnsi="Calibri" w:eastAsia="宋体" w:cs="Calibri"/>
                <w:b w:val="0"/>
                <w:bCs w:val="0"/>
                <w:color w:val="auto"/>
                <w:kern w:val="0"/>
                <w:szCs w:val="21"/>
                <w:highlight w:val="none"/>
                <w:lang w:val="en-US" w:eastAsia="zh-CN"/>
              </w:rPr>
              <w:t>等进行</w:t>
            </w:r>
            <w:r>
              <w:rPr>
                <w:rFonts w:hint="eastAsia" w:cs="Calibri"/>
                <w:b w:val="0"/>
                <w:bCs w:val="0"/>
                <w:color w:val="auto"/>
                <w:kern w:val="0"/>
                <w:szCs w:val="21"/>
                <w:highlight w:val="none"/>
                <w:lang w:val="en-US" w:eastAsia="zh-CN"/>
              </w:rPr>
              <w:t>正确分理和妥善管理。</w:t>
            </w:r>
          </w:p>
        </w:tc>
      </w:tr>
      <w:tr w14:paraId="16C45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l2br w:val="nil"/>
              <w:tr2bl w:val="nil"/>
            </w:tcBorders>
            <w:noWrap w:val="0"/>
            <w:tcMar>
              <w:top w:w="-1" w:type="dxa"/>
              <w:left w:w="-1" w:type="dxa"/>
              <w:bottom w:w="-1" w:type="dxa"/>
              <w:right w:w="-1" w:type="dxa"/>
            </w:tcMar>
            <w:vAlign w:val="center"/>
          </w:tcPr>
          <w:p w14:paraId="57D70F4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0" w:type="auto"/>
            <w:vMerge w:val="continue"/>
            <w:tcBorders>
              <w:tl2br w:val="nil"/>
              <w:tr2bl w:val="nil"/>
            </w:tcBorders>
            <w:noWrap w:val="0"/>
            <w:tcMar>
              <w:top w:w="-1" w:type="dxa"/>
              <w:left w:w="-1" w:type="dxa"/>
              <w:bottom w:w="-1" w:type="dxa"/>
              <w:right w:w="-1" w:type="dxa"/>
            </w:tcMar>
            <w:vAlign w:val="center"/>
          </w:tcPr>
          <w:p w14:paraId="312EC962">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Calibri" w:hAnsi="Calibri" w:cs="Calibri"/>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6C990C1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rPr>
              <w:t>大件物品出入</w:t>
            </w:r>
            <w:r>
              <w:rPr>
                <w:rFonts w:hint="eastAsia" w:cs="Calibri"/>
                <w:color w:val="auto"/>
                <w:szCs w:val="21"/>
                <w:highlight w:val="none"/>
                <w:u w:val="none"/>
                <w:lang w:val="en-US" w:eastAsia="zh-CN"/>
              </w:rPr>
              <w:t>向采购人</w:t>
            </w:r>
            <w:r>
              <w:rPr>
                <w:rFonts w:hint="eastAsia" w:ascii="Calibri" w:hAnsi="Calibri" w:eastAsia="宋体" w:cs="Calibri"/>
                <w:color w:val="auto"/>
                <w:szCs w:val="21"/>
                <w:highlight w:val="none"/>
                <w:u w:val="none"/>
                <w:lang w:val="en-US" w:eastAsia="zh-CN"/>
              </w:rPr>
              <w:t>报告</w:t>
            </w:r>
            <w:r>
              <w:rPr>
                <w:rFonts w:hint="eastAsia" w:cs="Calibri"/>
                <w:color w:val="auto"/>
                <w:szCs w:val="21"/>
                <w:highlight w:val="none"/>
                <w:u w:val="none"/>
                <w:lang w:val="en-US" w:eastAsia="zh-CN"/>
              </w:rPr>
              <w:t>，待采购人确认无误后放行</w:t>
            </w:r>
            <w:r>
              <w:rPr>
                <w:rFonts w:hint="eastAsia" w:cs="Calibri"/>
                <w:color w:val="auto"/>
                <w:szCs w:val="21"/>
                <w:highlight w:val="none"/>
                <w:u w:val="none"/>
                <w:lang w:eastAsia="zh-CN"/>
              </w:rPr>
              <w:t>。</w:t>
            </w:r>
          </w:p>
        </w:tc>
      </w:tr>
      <w:tr w14:paraId="12C86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l2br w:val="nil"/>
              <w:tr2bl w:val="nil"/>
            </w:tcBorders>
            <w:noWrap w:val="0"/>
            <w:tcMar>
              <w:top w:w="-1" w:type="dxa"/>
              <w:left w:w="-1" w:type="dxa"/>
              <w:bottom w:w="-1" w:type="dxa"/>
              <w:right w:w="-1" w:type="dxa"/>
            </w:tcMar>
            <w:vAlign w:val="center"/>
          </w:tcPr>
          <w:p w14:paraId="2A5714EA">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cs="Calibri"/>
                <w:highlight w:val="none"/>
                <w:lang w:val="en-US" w:eastAsia="zh-CN"/>
              </w:rPr>
            </w:pPr>
            <w:r>
              <w:rPr>
                <w:rFonts w:hint="eastAsia" w:cs="Calibri"/>
                <w:highlight w:val="none"/>
                <w:lang w:val="en-US" w:eastAsia="zh-CN"/>
              </w:rPr>
              <w:t>11</w:t>
            </w:r>
          </w:p>
        </w:tc>
        <w:tc>
          <w:tcPr>
            <w:tcW w:w="0" w:type="auto"/>
            <w:vMerge w:val="restart"/>
            <w:tcBorders>
              <w:tl2br w:val="nil"/>
              <w:tr2bl w:val="nil"/>
            </w:tcBorders>
            <w:noWrap w:val="0"/>
            <w:tcMar>
              <w:top w:w="-1" w:type="dxa"/>
              <w:left w:w="-1" w:type="dxa"/>
              <w:bottom w:w="-1" w:type="dxa"/>
              <w:right w:w="-1" w:type="dxa"/>
            </w:tcMar>
            <w:vAlign w:val="center"/>
          </w:tcPr>
          <w:p w14:paraId="71237F9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6377" w:type="dxa"/>
            <w:tcBorders>
              <w:tl2br w:val="nil"/>
              <w:tr2bl w:val="nil"/>
            </w:tcBorders>
            <w:noWrap w:val="0"/>
            <w:tcMar>
              <w:top w:w="-1" w:type="dxa"/>
              <w:left w:w="-1" w:type="dxa"/>
              <w:bottom w:w="-1" w:type="dxa"/>
              <w:right w:w="-1" w:type="dxa"/>
            </w:tcMar>
            <w:vAlign w:val="center"/>
          </w:tcPr>
          <w:p w14:paraId="4814AC3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14:paraId="455DC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9" w:type="dxa"/>
            <w:vMerge w:val="continue"/>
            <w:tcBorders>
              <w:tl2br w:val="nil"/>
              <w:tr2bl w:val="nil"/>
            </w:tcBorders>
            <w:noWrap w:val="0"/>
            <w:tcMar>
              <w:top w:w="-1" w:type="dxa"/>
              <w:left w:w="-1" w:type="dxa"/>
              <w:bottom w:w="-1" w:type="dxa"/>
              <w:right w:w="-1" w:type="dxa"/>
            </w:tcMar>
            <w:vAlign w:val="center"/>
          </w:tcPr>
          <w:p w14:paraId="567658BC">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s="Calibri"/>
                <w:highlight w:val="none"/>
                <w:lang w:val="en-US" w:eastAsia="zh-CN"/>
              </w:rPr>
            </w:pPr>
          </w:p>
        </w:tc>
        <w:tc>
          <w:tcPr>
            <w:tcW w:w="1716" w:type="dxa"/>
            <w:vMerge w:val="continue"/>
            <w:tcBorders>
              <w:tl2br w:val="nil"/>
              <w:tr2bl w:val="nil"/>
            </w:tcBorders>
            <w:noWrap w:val="0"/>
            <w:tcMar>
              <w:top w:w="-1" w:type="dxa"/>
              <w:left w:w="-1" w:type="dxa"/>
              <w:bottom w:w="-1" w:type="dxa"/>
              <w:right w:w="-1" w:type="dxa"/>
            </w:tcMar>
            <w:vAlign w:val="center"/>
          </w:tcPr>
          <w:p w14:paraId="46B8DBA5">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eastAsia="宋体"/>
                <w:highlight w:val="none"/>
                <w:lang w:val="en-US" w:eastAsia="zh-CN"/>
              </w:rPr>
            </w:pPr>
          </w:p>
        </w:tc>
        <w:tc>
          <w:tcPr>
            <w:tcW w:w="6377" w:type="dxa"/>
            <w:tcBorders>
              <w:tl2br w:val="nil"/>
              <w:tr2bl w:val="nil"/>
            </w:tcBorders>
            <w:noWrap w:val="0"/>
            <w:tcMar>
              <w:top w:w="-1" w:type="dxa"/>
              <w:left w:w="-1" w:type="dxa"/>
              <w:bottom w:w="-1" w:type="dxa"/>
              <w:right w:w="-1" w:type="dxa"/>
            </w:tcMar>
            <w:vAlign w:val="center"/>
          </w:tcPr>
          <w:p w14:paraId="70E9553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应当30</w:t>
            </w:r>
            <w:r>
              <w:rPr>
                <w:rFonts w:hint="default" w:ascii="Calibri" w:hAnsi="Calibri" w:eastAsia="宋体" w:cs="Calibri"/>
                <w:color w:val="auto"/>
                <w:szCs w:val="21"/>
                <w:highlight w:val="none"/>
                <w:u w:val="none"/>
                <w:lang w:val="en-US" w:eastAsia="zh-CN"/>
              </w:rPr>
              <w:t>分钟内到达现场</w:t>
            </w:r>
            <w:r>
              <w:rPr>
                <w:rFonts w:hint="eastAsia" w:eastAsia="宋体" w:cs="Calibri"/>
                <w:color w:val="auto"/>
                <w:szCs w:val="21"/>
                <w:highlight w:val="none"/>
                <w:u w:val="none"/>
                <w:lang w:val="en-US" w:eastAsia="zh-CN"/>
              </w:rPr>
              <w:t>，不间断维修直至修复。</w:t>
            </w:r>
          </w:p>
        </w:tc>
      </w:tr>
    </w:tbl>
    <w:p w14:paraId="7951EB1F">
      <w:pPr>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outlineLvl w:val="9"/>
        <w:rPr>
          <w:rFonts w:hint="eastAsia"/>
          <w:highlight w:val="none"/>
          <w:lang w:val="en-US" w:eastAsia="zh-CN"/>
        </w:rPr>
      </w:pPr>
    </w:p>
    <w:p w14:paraId="4EDD59E5">
      <w:pPr>
        <w:keepNext w:val="0"/>
        <w:keepLines w:val="0"/>
        <w:pageBreakBefore w:val="0"/>
        <w:widowControl w:val="0"/>
        <w:numPr>
          <w:ilvl w:val="1"/>
          <w:numId w:val="2"/>
        </w:numPr>
        <w:kinsoku/>
        <w:wordWrap/>
        <w:overflowPunct/>
        <w:topLinePunct w:val="0"/>
        <w:autoSpaceDE/>
        <w:autoSpaceDN/>
        <w:bidi w:val="0"/>
        <w:adjustRightInd/>
        <w:snapToGrid w:val="0"/>
        <w:ind w:firstLine="560" w:firstLineChars="200"/>
        <w:textAlignment w:val="auto"/>
        <w:outlineLvl w:val="2"/>
        <w:rPr>
          <w:rFonts w:hint="default"/>
          <w:b w:val="0"/>
          <w:bCs/>
          <w:sz w:val="28"/>
          <w:szCs w:val="24"/>
          <w:highlight w:val="none"/>
          <w:lang w:val="en-US" w:eastAsia="zh-CN"/>
        </w:rPr>
      </w:pPr>
      <w:bookmarkStart w:id="20" w:name="_Toc6136"/>
      <w:r>
        <w:rPr>
          <w:rFonts w:hint="default"/>
          <w:b w:val="0"/>
          <w:bCs/>
          <w:sz w:val="28"/>
          <w:szCs w:val="24"/>
          <w:highlight w:val="none"/>
          <w:lang w:val="en-US" w:eastAsia="zh-CN"/>
        </w:rPr>
        <w:t>房屋维护服务</w:t>
      </w:r>
      <w:bookmarkEnd w:id="2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44"/>
        <w:gridCol w:w="5856"/>
      </w:tblGrid>
      <w:tr w14:paraId="0147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noWrap w:val="0"/>
            <w:vAlign w:val="center"/>
          </w:tcPr>
          <w:p w14:paraId="7E87D2E4">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066" w:type="dxa"/>
            <w:noWrap w:val="0"/>
            <w:vAlign w:val="center"/>
          </w:tcPr>
          <w:p w14:paraId="09836071">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222" w:type="dxa"/>
            <w:noWrap w:val="0"/>
            <w:vAlign w:val="center"/>
          </w:tcPr>
          <w:p w14:paraId="60E8419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1725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151528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2066" w:type="dxa"/>
            <w:vMerge w:val="restart"/>
            <w:noWrap w:val="0"/>
            <w:vAlign w:val="center"/>
          </w:tcPr>
          <w:p w14:paraId="32906B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6222" w:type="dxa"/>
            <w:noWrap w:val="0"/>
            <w:vAlign w:val="center"/>
          </w:tcPr>
          <w:p w14:paraId="25FC7C5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14:paraId="74E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0592C4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7C9DA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6222" w:type="dxa"/>
            <w:noWrap w:val="0"/>
            <w:vAlign w:val="center"/>
          </w:tcPr>
          <w:p w14:paraId="1852DD7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14:paraId="7138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78A2E8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6E1543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246B39B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6E00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6A50C9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3739E8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3301AA7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3E1A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14B5B7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439922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69459A9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14:paraId="1707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2" w:type="dxa"/>
            <w:vMerge w:val="continue"/>
            <w:noWrap w:val="0"/>
            <w:vAlign w:val="center"/>
          </w:tcPr>
          <w:p w14:paraId="1CE85F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2066" w:type="dxa"/>
            <w:vMerge w:val="continue"/>
            <w:noWrap w:val="0"/>
            <w:vAlign w:val="center"/>
          </w:tcPr>
          <w:p w14:paraId="149552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1378686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14:paraId="318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3840CB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2066" w:type="dxa"/>
            <w:vMerge w:val="restart"/>
            <w:noWrap w:val="0"/>
            <w:vAlign w:val="center"/>
          </w:tcPr>
          <w:p w14:paraId="37D4B3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其他设施</w:t>
            </w:r>
          </w:p>
        </w:tc>
        <w:tc>
          <w:tcPr>
            <w:tcW w:w="6222" w:type="dxa"/>
            <w:noWrap w:val="0"/>
            <w:vAlign w:val="center"/>
          </w:tcPr>
          <w:p w14:paraId="3626019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14:paraId="7C90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0F22E2E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7BD0D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6222" w:type="dxa"/>
            <w:noWrap w:val="0"/>
            <w:vAlign w:val="center"/>
          </w:tcPr>
          <w:p w14:paraId="13A712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14:paraId="329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2C0873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5769FE50">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6222" w:type="dxa"/>
            <w:noWrap w:val="0"/>
            <w:vAlign w:val="center"/>
          </w:tcPr>
          <w:p w14:paraId="54E612A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14:paraId="4A9D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7C5C1E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8C3258F">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6222" w:type="dxa"/>
            <w:noWrap w:val="0"/>
            <w:vAlign w:val="center"/>
          </w:tcPr>
          <w:p w14:paraId="6651720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（4）接到采购人家具报修服务后，及时通知家具供货商对保修期内的家具进行维修，及时对保修期外的家具进行维修。</w:t>
            </w:r>
          </w:p>
        </w:tc>
      </w:tr>
      <w:tr w14:paraId="0E4B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0562AB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2066" w:type="dxa"/>
            <w:vMerge w:val="restart"/>
            <w:noWrap w:val="0"/>
            <w:vAlign w:val="center"/>
          </w:tcPr>
          <w:p w14:paraId="754705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6222" w:type="dxa"/>
            <w:noWrap w:val="0"/>
            <w:vAlign w:val="center"/>
          </w:tcPr>
          <w:p w14:paraId="016CCCC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14:paraId="53F7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continue"/>
            <w:noWrap w:val="0"/>
            <w:vAlign w:val="center"/>
          </w:tcPr>
          <w:p w14:paraId="2569F4C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4489120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6222" w:type="dxa"/>
            <w:noWrap w:val="0"/>
            <w:vAlign w:val="center"/>
          </w:tcPr>
          <w:p w14:paraId="45C8C31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14:paraId="1550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72" w:type="dxa"/>
            <w:vMerge w:val="continue"/>
            <w:noWrap w:val="0"/>
            <w:vAlign w:val="center"/>
          </w:tcPr>
          <w:p w14:paraId="709D81E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0C5B23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6222" w:type="dxa"/>
            <w:noWrap w:val="0"/>
            <w:vAlign w:val="center"/>
          </w:tcPr>
          <w:p w14:paraId="0B873AA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14:paraId="49C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2" w:type="dxa"/>
            <w:vMerge w:val="restart"/>
            <w:noWrap w:val="0"/>
            <w:vAlign w:val="center"/>
          </w:tcPr>
          <w:p w14:paraId="3C1E67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2066" w:type="dxa"/>
            <w:vMerge w:val="restart"/>
            <w:noWrap w:val="0"/>
            <w:vAlign w:val="center"/>
          </w:tcPr>
          <w:p w14:paraId="78C9FD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6222" w:type="dxa"/>
            <w:noWrap w:val="0"/>
            <w:vAlign w:val="center"/>
          </w:tcPr>
          <w:p w14:paraId="6BFCBB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5B68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2" w:type="dxa"/>
            <w:vMerge w:val="continue"/>
            <w:noWrap w:val="0"/>
            <w:vAlign w:val="center"/>
          </w:tcPr>
          <w:p w14:paraId="196F59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2066" w:type="dxa"/>
            <w:vMerge w:val="continue"/>
            <w:noWrap w:val="0"/>
            <w:vAlign w:val="center"/>
          </w:tcPr>
          <w:p w14:paraId="2FFD2E3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6222" w:type="dxa"/>
            <w:noWrap w:val="0"/>
            <w:vAlign w:val="center"/>
          </w:tcPr>
          <w:p w14:paraId="417A7DD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bl>
    <w:p w14:paraId="31D132C1">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9"/>
        <w:rPr>
          <w:rFonts w:hint="eastAsia"/>
          <w:b w:val="0"/>
          <w:bCs/>
          <w:sz w:val="28"/>
          <w:szCs w:val="24"/>
          <w:highlight w:val="none"/>
          <w:lang w:val="en-US" w:eastAsia="zh-CN"/>
        </w:rPr>
      </w:pPr>
    </w:p>
    <w:p w14:paraId="4C4F0667">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eastAsia"/>
          <w:b w:val="0"/>
          <w:bCs/>
          <w:sz w:val="28"/>
          <w:szCs w:val="24"/>
          <w:highlight w:val="none"/>
          <w:lang w:val="en-US" w:eastAsia="zh-CN"/>
        </w:rPr>
      </w:pPr>
      <w:bookmarkStart w:id="21" w:name="_Toc12565"/>
      <w:r>
        <w:rPr>
          <w:rFonts w:hint="eastAsia"/>
          <w:b w:val="0"/>
          <w:bCs/>
          <w:sz w:val="28"/>
          <w:szCs w:val="24"/>
          <w:highlight w:val="none"/>
          <w:lang w:val="en-US" w:eastAsia="zh-CN"/>
        </w:rPr>
        <w:t>3.3公用设施设备维护服务</w:t>
      </w:r>
      <w:bookmarkEnd w:id="21"/>
    </w:p>
    <w:tbl>
      <w:tblPr>
        <w:tblStyle w:val="21"/>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60"/>
        <w:gridCol w:w="5865"/>
      </w:tblGrid>
      <w:tr w14:paraId="6752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noWrap w:val="0"/>
            <w:vAlign w:val="center"/>
          </w:tcPr>
          <w:p w14:paraId="022EFBB0">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58" w:type="dxa"/>
            <w:noWrap w:val="0"/>
            <w:vAlign w:val="center"/>
          </w:tcPr>
          <w:p w14:paraId="1FD8FB10">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750" w:type="dxa"/>
            <w:noWrap w:val="0"/>
            <w:vAlign w:val="center"/>
          </w:tcPr>
          <w:p w14:paraId="529F9373">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5438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792A5AB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258" w:type="dxa"/>
            <w:vMerge w:val="restart"/>
            <w:noWrap w:val="0"/>
            <w:vAlign w:val="center"/>
          </w:tcPr>
          <w:p w14:paraId="1260FA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9750" w:type="dxa"/>
            <w:noWrap w:val="0"/>
            <w:vAlign w:val="center"/>
          </w:tcPr>
          <w:p w14:paraId="30E8217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14:paraId="5379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41B4760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675DE08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9750" w:type="dxa"/>
            <w:noWrap w:val="0"/>
            <w:vAlign w:val="center"/>
          </w:tcPr>
          <w:p w14:paraId="71E48FD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14:paraId="7474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9" w:type="dxa"/>
            <w:vMerge w:val="restart"/>
            <w:noWrap w:val="0"/>
            <w:vAlign w:val="center"/>
          </w:tcPr>
          <w:p w14:paraId="4E6728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258" w:type="dxa"/>
            <w:vMerge w:val="restart"/>
            <w:noWrap w:val="0"/>
            <w:vAlign w:val="center"/>
          </w:tcPr>
          <w:p w14:paraId="0FF793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9750" w:type="dxa"/>
            <w:noWrap w:val="0"/>
            <w:vAlign w:val="center"/>
          </w:tcPr>
          <w:p w14:paraId="371353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14:paraId="64F5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09" w:type="dxa"/>
            <w:vMerge w:val="continue"/>
            <w:noWrap w:val="0"/>
            <w:vAlign w:val="center"/>
          </w:tcPr>
          <w:p w14:paraId="06D48B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764B31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39114F0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14:paraId="6094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09" w:type="dxa"/>
            <w:vMerge w:val="continue"/>
            <w:noWrap w:val="0"/>
            <w:vAlign w:val="center"/>
          </w:tcPr>
          <w:p w14:paraId="2A8C89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4BDAAD5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254279A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14:paraId="085F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9" w:type="dxa"/>
            <w:vMerge w:val="continue"/>
            <w:noWrap w:val="0"/>
            <w:vAlign w:val="center"/>
          </w:tcPr>
          <w:p w14:paraId="264C72A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4121DA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470874B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14:paraId="29B1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09" w:type="dxa"/>
            <w:vMerge w:val="continue"/>
            <w:noWrap w:val="0"/>
            <w:vAlign w:val="center"/>
          </w:tcPr>
          <w:p w14:paraId="307A88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3F05B44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4A725AD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14:paraId="3313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9" w:type="dxa"/>
            <w:vMerge w:val="continue"/>
            <w:noWrap w:val="0"/>
            <w:vAlign w:val="center"/>
          </w:tcPr>
          <w:p w14:paraId="373A78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58" w:type="dxa"/>
            <w:vMerge w:val="continue"/>
            <w:noWrap w:val="0"/>
            <w:vAlign w:val="center"/>
          </w:tcPr>
          <w:p w14:paraId="26C78F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1A4ABBB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14:paraId="5EB3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13F82D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258" w:type="dxa"/>
            <w:vMerge w:val="restart"/>
            <w:noWrap w:val="0"/>
            <w:vAlign w:val="center"/>
          </w:tcPr>
          <w:p w14:paraId="2A1E0FC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给排水系统</w:t>
            </w:r>
          </w:p>
        </w:tc>
        <w:tc>
          <w:tcPr>
            <w:tcW w:w="9750" w:type="dxa"/>
            <w:noWrap w:val="0"/>
            <w:vAlign w:val="center"/>
          </w:tcPr>
          <w:p w14:paraId="438294F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1次对排水管进行疏通、清污，保证室内外排水系统通畅</w:t>
            </w:r>
            <w:r>
              <w:rPr>
                <w:rFonts w:hint="eastAsia" w:eastAsia="宋体" w:cs="Calibri"/>
                <w:b w:val="0"/>
                <w:bCs w:val="0"/>
                <w:color w:val="auto"/>
                <w:kern w:val="0"/>
                <w:szCs w:val="21"/>
                <w:highlight w:val="none"/>
                <w:lang w:val="en-US" w:eastAsia="zh-CN"/>
              </w:rPr>
              <w:t>。</w:t>
            </w:r>
          </w:p>
        </w:tc>
      </w:tr>
      <w:tr w14:paraId="070D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B41FC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5B779B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E0C16E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设施设备、阀门、管道等运行正常，无跑、冒、滴、漏现象</w:t>
            </w:r>
            <w:r>
              <w:rPr>
                <w:rFonts w:hint="eastAsia" w:eastAsia="宋体" w:cs="Calibri"/>
                <w:b w:val="0"/>
                <w:bCs w:val="0"/>
                <w:color w:val="auto"/>
                <w:kern w:val="0"/>
                <w:szCs w:val="21"/>
                <w:highlight w:val="none"/>
                <w:lang w:val="en-US" w:eastAsia="zh-CN"/>
              </w:rPr>
              <w:t>。</w:t>
            </w:r>
          </w:p>
        </w:tc>
      </w:tr>
      <w:tr w14:paraId="3E42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5BB97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1199EA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5035A5A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有水泵房、水箱间的，每日至少巡视1次。每年至少养护1次水泵</w:t>
            </w:r>
            <w:r>
              <w:rPr>
                <w:rFonts w:hint="eastAsia" w:eastAsia="宋体" w:cs="Calibri"/>
                <w:b w:val="0"/>
                <w:bCs w:val="0"/>
                <w:color w:val="auto"/>
                <w:kern w:val="0"/>
                <w:szCs w:val="21"/>
                <w:highlight w:val="none"/>
                <w:lang w:val="en-US" w:eastAsia="zh-CN"/>
              </w:rPr>
              <w:t>。</w:t>
            </w:r>
          </w:p>
        </w:tc>
      </w:tr>
      <w:tr w14:paraId="1326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1EE65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1BB602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5CD874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遇供水单位限水、停水，按规定时间通知</w:t>
            </w:r>
            <w:r>
              <w:rPr>
                <w:rFonts w:hint="eastAsia" w:eastAsia="宋体" w:cs="Calibri"/>
                <w:b w:val="0"/>
                <w:bCs w:val="0"/>
                <w:color w:val="auto"/>
                <w:kern w:val="0"/>
                <w:szCs w:val="21"/>
                <w:highlight w:val="none"/>
                <w:lang w:val="en-US" w:eastAsia="zh-CN"/>
              </w:rPr>
              <w:t>采购人。</w:t>
            </w:r>
          </w:p>
        </w:tc>
      </w:tr>
      <w:tr w14:paraId="0E71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1C687D8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4</w:t>
            </w:r>
          </w:p>
        </w:tc>
        <w:tc>
          <w:tcPr>
            <w:tcW w:w="3258" w:type="dxa"/>
            <w:vMerge w:val="restart"/>
            <w:noWrap w:val="0"/>
            <w:vAlign w:val="center"/>
          </w:tcPr>
          <w:p w14:paraId="6DED51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电梯系统</w:t>
            </w:r>
          </w:p>
        </w:tc>
        <w:tc>
          <w:tcPr>
            <w:tcW w:w="9750" w:type="dxa"/>
            <w:noWrap w:val="0"/>
            <w:vAlign w:val="center"/>
          </w:tcPr>
          <w:p w14:paraId="1E32E81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电梯运行平稳、无异响、平层、开关正常。每周至少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2次电梯的安全状况检查</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电梯维修、保养时在现场设置提示标识和防护围栏</w:t>
            </w:r>
            <w:r>
              <w:rPr>
                <w:rFonts w:hint="eastAsia" w:eastAsia="宋体" w:cs="Calibri"/>
                <w:b w:val="0"/>
                <w:bCs w:val="0"/>
                <w:color w:val="auto"/>
                <w:kern w:val="0"/>
                <w:szCs w:val="21"/>
                <w:highlight w:val="none"/>
                <w:lang w:val="en-US" w:eastAsia="zh-CN"/>
              </w:rPr>
              <w:t>。</w:t>
            </w:r>
          </w:p>
        </w:tc>
      </w:tr>
      <w:tr w14:paraId="4D93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2C1B06F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50AA20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0339BA7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电梯准用证、年检合格证等证件齐全。相关证件、紧急救援电话和乘客注意事项置于轿厢醒目位置</w:t>
            </w:r>
            <w:r>
              <w:rPr>
                <w:rFonts w:hint="eastAsia" w:cs="Calibri"/>
                <w:b w:val="0"/>
                <w:bCs w:val="0"/>
                <w:color w:val="auto"/>
                <w:kern w:val="0"/>
                <w:szCs w:val="21"/>
                <w:highlight w:val="none"/>
                <w:lang w:val="en-US" w:eastAsia="zh-CN"/>
              </w:rPr>
              <w:t>。</w:t>
            </w:r>
          </w:p>
        </w:tc>
      </w:tr>
      <w:tr w14:paraId="3093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11008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0FCB36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546E86B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1次对电梯</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全面检测，并出具检测报告，核发电梯使用标志</w:t>
            </w:r>
            <w:r>
              <w:rPr>
                <w:rFonts w:hint="eastAsia" w:eastAsia="宋体" w:cs="Calibri"/>
                <w:b w:val="0"/>
                <w:bCs w:val="0"/>
                <w:color w:val="auto"/>
                <w:kern w:val="0"/>
                <w:szCs w:val="21"/>
                <w:highlight w:val="none"/>
                <w:lang w:val="en-US" w:eastAsia="zh-CN"/>
              </w:rPr>
              <w:t>。</w:t>
            </w:r>
          </w:p>
        </w:tc>
      </w:tr>
      <w:tr w14:paraId="65A6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82E3B5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04603D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49FEDD3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电梯维保应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符合《电梯维护保养规则》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T5002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14:paraId="6D86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DC7B8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32B289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2DC89DB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电梯使用应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符合《特种设备使用管理规则》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08</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14:paraId="519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E1AEB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299CCC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0731C6B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有电梯突发事件或事故的应急措施与救援预案，每年至少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演练1次。电梯出现故障，物业服务人员10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内到场应急处理，维保专业人员30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w:t>
            </w:r>
            <w:r>
              <w:rPr>
                <w:rFonts w:hint="eastAsia" w:eastAsia="宋体" w:cs="Calibri"/>
                <w:b w:val="0"/>
                <w:bCs w:val="0"/>
                <w:color w:val="auto"/>
                <w:kern w:val="0"/>
                <w:szCs w:val="21"/>
                <w:highlight w:val="none"/>
                <w:lang w:val="en-US" w:eastAsia="zh-CN"/>
              </w:rPr>
              <w:t>。</w:t>
            </w:r>
          </w:p>
        </w:tc>
      </w:tr>
      <w:tr w14:paraId="6EEE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0C265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06E9A8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2B860AD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到场进行救助和排除故障。电梯紧急电话保持畅通</w:t>
            </w:r>
            <w:r>
              <w:rPr>
                <w:rFonts w:hint="eastAsia" w:eastAsia="宋体" w:cs="Calibri"/>
                <w:b w:val="0"/>
                <w:bCs w:val="0"/>
                <w:color w:val="auto"/>
                <w:kern w:val="0"/>
                <w:szCs w:val="21"/>
                <w:highlight w:val="none"/>
                <w:lang w:val="en-US" w:eastAsia="zh-CN"/>
              </w:rPr>
              <w:t>。</w:t>
            </w:r>
          </w:p>
        </w:tc>
      </w:tr>
      <w:tr w14:paraId="1F46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7D583A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restart"/>
            <w:noWrap w:val="0"/>
            <w:vAlign w:val="center"/>
          </w:tcPr>
          <w:p w14:paraId="5F258C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空调系统</w:t>
            </w:r>
          </w:p>
        </w:tc>
        <w:tc>
          <w:tcPr>
            <w:tcW w:w="9750" w:type="dxa"/>
            <w:noWrap w:val="0"/>
            <w:vAlign w:val="center"/>
          </w:tcPr>
          <w:p w14:paraId="0239365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定期维保并做好记录，保证空调设施设备处于良好状态</w:t>
            </w:r>
            <w:r>
              <w:rPr>
                <w:rFonts w:hint="eastAsia" w:eastAsia="宋体" w:cs="Calibri"/>
                <w:b w:val="0"/>
                <w:bCs w:val="0"/>
                <w:color w:val="auto"/>
                <w:kern w:val="0"/>
                <w:szCs w:val="21"/>
                <w:highlight w:val="none"/>
                <w:lang w:val="en-US" w:eastAsia="zh-CN"/>
              </w:rPr>
              <w:t>。</w:t>
            </w:r>
          </w:p>
        </w:tc>
      </w:tr>
      <w:tr w14:paraId="30FE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5F346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4169EA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369A2C5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每半年至少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1次管道、阀门检查并除锈</w:t>
            </w:r>
            <w:r>
              <w:rPr>
                <w:rFonts w:hint="eastAsia" w:eastAsia="宋体" w:cs="Calibri"/>
                <w:b w:val="0"/>
                <w:bCs w:val="0"/>
                <w:color w:val="auto"/>
                <w:kern w:val="0"/>
                <w:szCs w:val="21"/>
                <w:highlight w:val="none"/>
                <w:lang w:val="en-US" w:eastAsia="zh-CN"/>
              </w:rPr>
              <w:t>。</w:t>
            </w:r>
          </w:p>
        </w:tc>
      </w:tr>
      <w:tr w14:paraId="62DC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0A7BA0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3A042D6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shd w:val="clear" w:color="auto" w:fill="auto"/>
            <w:noWrap w:val="0"/>
            <w:vAlign w:val="center"/>
          </w:tcPr>
          <w:p w14:paraId="247510E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w:t>
            </w:r>
            <w:r>
              <w:rPr>
                <w:rFonts w:hint="eastAsia" w:ascii="Calibri" w:hAnsi="Calibri" w:eastAsia="宋体" w:cs="Calibri"/>
                <w:b w:val="0"/>
                <w:bCs w:val="0"/>
                <w:color w:val="auto"/>
                <w:kern w:val="0"/>
                <w:szCs w:val="21"/>
                <w:highlight w:val="none"/>
                <w:lang w:val="en-US" w:eastAsia="zh-CN"/>
              </w:rPr>
              <w:t>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1次新风机、空气处理机滤网等清洗消毒</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每2年至少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1次风管清洗消毒</w:t>
            </w:r>
            <w:r>
              <w:rPr>
                <w:rFonts w:hint="eastAsia" w:eastAsia="宋体" w:cs="Calibri"/>
                <w:b w:val="0"/>
                <w:bCs w:val="0"/>
                <w:color w:val="auto"/>
                <w:kern w:val="0"/>
                <w:szCs w:val="21"/>
                <w:highlight w:val="none"/>
                <w:lang w:val="en-US" w:eastAsia="zh-CN"/>
              </w:rPr>
              <w:t>。</w:t>
            </w:r>
          </w:p>
        </w:tc>
      </w:tr>
      <w:tr w14:paraId="2430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7306AB4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1E64EA5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shd w:val="clear" w:color="auto" w:fill="auto"/>
            <w:noWrap w:val="0"/>
            <w:vAlign w:val="center"/>
          </w:tcPr>
          <w:p w14:paraId="53F3FAD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kern w:val="2"/>
                <w:sz w:val="21"/>
                <w:szCs w:val="21"/>
                <w:highlight w:val="none"/>
                <w:u w:val="none"/>
                <w:lang w:val="en-US" w:eastAsia="zh-CN" w:bidi="ar-SA"/>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1次分体式空调主机</w:t>
            </w:r>
            <w:r>
              <w:rPr>
                <w:rFonts w:hint="eastAsia" w:cs="Calibri"/>
                <w:b w:val="0"/>
                <w:bCs w:val="0"/>
                <w:color w:val="auto"/>
                <w:kern w:val="0"/>
                <w:szCs w:val="21"/>
                <w:highlight w:val="none"/>
                <w:lang w:val="en-US" w:eastAsia="zh-CN"/>
              </w:rPr>
              <w:t>（含空调过滤网）</w:t>
            </w:r>
            <w:r>
              <w:rPr>
                <w:rFonts w:hint="eastAsia" w:ascii="Calibri" w:hAnsi="Calibri" w:eastAsia="宋体" w:cs="Calibri"/>
                <w:b w:val="0"/>
                <w:bCs w:val="0"/>
                <w:color w:val="auto"/>
                <w:kern w:val="0"/>
                <w:szCs w:val="21"/>
                <w:highlight w:val="none"/>
                <w:lang w:val="en-US" w:eastAsia="zh-CN"/>
              </w:rPr>
              <w:t>和室外机清洁。每月至少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1次挂机和室外支架稳固</w:t>
            </w:r>
            <w:r>
              <w:rPr>
                <w:rFonts w:hint="eastAsia" w:eastAsia="宋体" w:cs="Calibri"/>
                <w:b w:val="0"/>
                <w:bCs w:val="0"/>
                <w:color w:val="auto"/>
                <w:kern w:val="0"/>
                <w:szCs w:val="21"/>
                <w:highlight w:val="none"/>
                <w:lang w:val="en-US" w:eastAsia="zh-CN"/>
              </w:rPr>
              <w:t>性</w:t>
            </w:r>
            <w:r>
              <w:rPr>
                <w:rFonts w:hint="eastAsia" w:ascii="Calibri" w:hAnsi="Calibri" w:eastAsia="宋体" w:cs="Calibri"/>
                <w:b w:val="0"/>
                <w:bCs w:val="0"/>
                <w:color w:val="auto"/>
                <w:kern w:val="0"/>
                <w:szCs w:val="21"/>
                <w:highlight w:val="none"/>
                <w:lang w:val="en-US" w:eastAsia="zh-CN"/>
              </w:rPr>
              <w:t>巡查</w:t>
            </w:r>
            <w:r>
              <w:rPr>
                <w:rFonts w:hint="eastAsia" w:eastAsia="宋体" w:cs="Calibri"/>
                <w:b w:val="0"/>
                <w:bCs w:val="0"/>
                <w:color w:val="auto"/>
                <w:kern w:val="0"/>
                <w:szCs w:val="21"/>
                <w:highlight w:val="none"/>
                <w:lang w:val="en-US" w:eastAsia="zh-CN"/>
              </w:rPr>
              <w:t>。</w:t>
            </w:r>
          </w:p>
        </w:tc>
      </w:tr>
      <w:tr w14:paraId="623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ED666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14EBDD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shd w:val="clear" w:color="auto" w:fill="auto"/>
            <w:noWrap w:val="0"/>
            <w:vAlign w:val="center"/>
          </w:tcPr>
          <w:p w14:paraId="6A408A8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eastAsia" w:cs="Calibri"/>
                <w:b w:val="0"/>
                <w:bCs w:val="0"/>
                <w:color w:val="auto"/>
                <w:kern w:val="0"/>
                <w:szCs w:val="21"/>
                <w:highlight w:val="none"/>
                <w:lang w:val="en-US" w:eastAsia="zh-CN"/>
              </w:rPr>
              <w:t>（5）</w:t>
            </w:r>
            <w:r>
              <w:rPr>
                <w:rFonts w:hint="default" w:ascii="Calibri" w:hAnsi="Calibri" w:eastAsia="宋体" w:cs="Calibri"/>
                <w:color w:val="auto"/>
                <w:szCs w:val="21"/>
                <w:highlight w:val="none"/>
                <w:u w:val="none"/>
                <w:lang w:val="en-US" w:eastAsia="zh-CN"/>
              </w:rPr>
              <w:t>发现故障或损坏应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在30分钟内到场，紧急维修</w:t>
            </w:r>
            <w:r>
              <w:rPr>
                <w:rFonts w:hint="eastAsia" w:cs="Calibri"/>
                <w:color w:val="auto"/>
                <w:szCs w:val="21"/>
                <w:highlight w:val="none"/>
                <w:u w:val="none"/>
                <w:lang w:val="en-US" w:eastAsia="zh-CN"/>
              </w:rPr>
              <w:t>应当在</w:t>
            </w:r>
            <w:r>
              <w:rPr>
                <w:rFonts w:hint="default" w:ascii="Calibri" w:hAnsi="Calibri" w:eastAsia="宋体" w:cs="Calibri"/>
                <w:color w:val="auto"/>
                <w:szCs w:val="21"/>
                <w:highlight w:val="none"/>
                <w:u w:val="none"/>
                <w:lang w:val="en-US" w:eastAsia="zh-CN"/>
              </w:rPr>
              <w:t>15分钟内到达现场</w:t>
            </w:r>
            <w:r>
              <w:rPr>
                <w:rFonts w:hint="eastAsia" w:ascii="Calibri" w:hAnsi="Calibri" w:eastAsia="宋体" w:cs="Calibri"/>
                <w:color w:val="auto"/>
                <w:szCs w:val="21"/>
                <w:highlight w:val="none"/>
                <w:u w:val="none"/>
                <w:lang w:val="en-US" w:eastAsia="zh-CN"/>
              </w:rPr>
              <w:t>，</w:t>
            </w:r>
            <w:r>
              <w:rPr>
                <w:rFonts w:hint="eastAsia" w:cs="Calibri"/>
                <w:color w:val="auto"/>
                <w:szCs w:val="21"/>
                <w:highlight w:val="none"/>
                <w:u w:val="none"/>
                <w:lang w:val="en-US" w:eastAsia="zh-CN"/>
              </w:rPr>
              <w:t>在</w:t>
            </w:r>
            <w:r>
              <w:rPr>
                <w:rFonts w:hint="default" w:ascii="Calibri" w:hAnsi="Calibri" w:eastAsia="宋体" w:cs="Calibri"/>
                <w:color w:val="auto"/>
                <w:szCs w:val="21"/>
                <w:highlight w:val="none"/>
                <w:u w:val="none"/>
                <w:lang w:val="en-US" w:eastAsia="zh-CN"/>
              </w:rPr>
              <w:t>12小时内维修完毕</w:t>
            </w:r>
            <w:r>
              <w:rPr>
                <w:rFonts w:hint="eastAsia" w:cs="Calibri"/>
                <w:color w:val="auto"/>
                <w:szCs w:val="21"/>
                <w:highlight w:val="none"/>
                <w:u w:val="none"/>
                <w:lang w:val="en-US" w:eastAsia="zh-CN"/>
              </w:rPr>
              <w:t>。</w:t>
            </w:r>
          </w:p>
        </w:tc>
      </w:tr>
      <w:tr w14:paraId="279A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54A06D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258" w:type="dxa"/>
            <w:vMerge w:val="restart"/>
            <w:noWrap w:val="0"/>
            <w:vAlign w:val="center"/>
          </w:tcPr>
          <w:p w14:paraId="1046814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9750" w:type="dxa"/>
            <w:noWrap w:val="0"/>
            <w:vAlign w:val="center"/>
          </w:tcPr>
          <w:p w14:paraId="45C2871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5658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8CADD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2C09B6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48EA2B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或XF503）</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14:paraId="7971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0E3D9D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255B7A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4E0BFBD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14:paraId="7627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462C2F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6BD1373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1FD8263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14:paraId="4B45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13F04C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7E7B7E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217DAC5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14:paraId="111D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83CA19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36FD1D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5747D33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14:paraId="614A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4A67BD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4B497C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32B55D3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14:paraId="1C19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387AC12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72E4C4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2F25FF1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14:paraId="6069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6349D8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258" w:type="dxa"/>
            <w:vMerge w:val="restart"/>
            <w:noWrap w:val="0"/>
            <w:vAlign w:val="center"/>
          </w:tcPr>
          <w:p w14:paraId="6A95DF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9750" w:type="dxa"/>
            <w:noWrap w:val="0"/>
            <w:vAlign w:val="center"/>
          </w:tcPr>
          <w:p w14:paraId="0124857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14:paraId="121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7A6E1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7A4DEC3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60D01EA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14:paraId="39F1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2B62F2D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46B38A4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267BA9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14:paraId="3DFE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0A7123D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129B89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8EBD36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14:paraId="224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190B2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7DAA93D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4F21E3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14:paraId="5A76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55DC461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258" w:type="dxa"/>
            <w:vMerge w:val="continue"/>
            <w:noWrap w:val="0"/>
            <w:vAlign w:val="center"/>
          </w:tcPr>
          <w:p w14:paraId="22AE3C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76933AB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14:paraId="30F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noWrap w:val="0"/>
            <w:vAlign w:val="center"/>
          </w:tcPr>
          <w:p w14:paraId="525E40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258" w:type="dxa"/>
            <w:noWrap w:val="0"/>
            <w:vAlign w:val="center"/>
          </w:tcPr>
          <w:p w14:paraId="37BF6B0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9750" w:type="dxa"/>
            <w:noWrap w:val="0"/>
            <w:vAlign w:val="center"/>
          </w:tcPr>
          <w:p w14:paraId="2ECD8E2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14:paraId="43AC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restart"/>
            <w:noWrap w:val="0"/>
            <w:vAlign w:val="center"/>
          </w:tcPr>
          <w:p w14:paraId="09DD75B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3258" w:type="dxa"/>
            <w:vMerge w:val="restart"/>
            <w:noWrap w:val="0"/>
            <w:vAlign w:val="center"/>
          </w:tcPr>
          <w:p w14:paraId="7FABBD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9750" w:type="dxa"/>
            <w:noWrap w:val="0"/>
            <w:vAlign w:val="center"/>
          </w:tcPr>
          <w:p w14:paraId="67EE29C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14:paraId="2ED5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277CAF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58" w:type="dxa"/>
            <w:vMerge w:val="continue"/>
            <w:noWrap w:val="0"/>
            <w:vAlign w:val="center"/>
          </w:tcPr>
          <w:p w14:paraId="7E98C1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750" w:type="dxa"/>
            <w:noWrap w:val="0"/>
            <w:vAlign w:val="center"/>
          </w:tcPr>
          <w:p w14:paraId="026DF1E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14:paraId="11C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vMerge w:val="continue"/>
            <w:noWrap w:val="0"/>
            <w:vAlign w:val="center"/>
          </w:tcPr>
          <w:p w14:paraId="61FD07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58" w:type="dxa"/>
            <w:vMerge w:val="continue"/>
            <w:noWrap w:val="0"/>
            <w:vAlign w:val="center"/>
          </w:tcPr>
          <w:p w14:paraId="63AED6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750" w:type="dxa"/>
            <w:noWrap w:val="0"/>
            <w:vAlign w:val="center"/>
          </w:tcPr>
          <w:p w14:paraId="0635742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r w14:paraId="36D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9" w:type="dxa"/>
            <w:noWrap w:val="0"/>
            <w:vAlign w:val="center"/>
          </w:tcPr>
          <w:p w14:paraId="64437E7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eastAsia="宋体"/>
                <w:highlight w:val="none"/>
                <w:lang w:val="en-US" w:eastAsia="zh-CN"/>
              </w:rPr>
              <w:t>10</w:t>
            </w:r>
          </w:p>
        </w:tc>
        <w:tc>
          <w:tcPr>
            <w:tcW w:w="3258" w:type="dxa"/>
            <w:noWrap w:val="0"/>
            <w:vAlign w:val="center"/>
          </w:tcPr>
          <w:p w14:paraId="731B58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Theme="minorEastAsia"/>
                <w:highlight w:val="none"/>
                <w:lang w:val="en-US" w:eastAsia="zh-CN"/>
              </w:rPr>
            </w:pPr>
            <w:r>
              <w:rPr>
                <w:rFonts w:hint="eastAsia"/>
                <w:highlight w:val="none"/>
                <w:lang w:val="en-US" w:eastAsia="zh-CN"/>
              </w:rPr>
              <w:t>楼顶发光字</w:t>
            </w:r>
          </w:p>
        </w:tc>
        <w:tc>
          <w:tcPr>
            <w:tcW w:w="9750" w:type="dxa"/>
            <w:noWrap w:val="0"/>
            <w:vAlign w:val="center"/>
          </w:tcPr>
          <w:p w14:paraId="6F659E6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楼顶发光字按时开关、定期巡检，有问题及时报修。</w:t>
            </w:r>
          </w:p>
        </w:tc>
      </w:tr>
    </w:tbl>
    <w:p w14:paraId="06A75E7B">
      <w:pPr>
        <w:keepNext/>
        <w:keepLines/>
        <w:pageBreakBefore w:val="0"/>
        <w:widowControl w:val="0"/>
        <w:kinsoku/>
        <w:wordWrap/>
        <w:overflowPunct/>
        <w:topLinePunct w:val="0"/>
        <w:autoSpaceDE/>
        <w:autoSpaceDN/>
        <w:bidi w:val="0"/>
        <w:adjustRightInd/>
        <w:snapToGrid w:val="0"/>
        <w:ind w:left="0" w:leftChars="0" w:firstLine="0" w:firstLineChars="0"/>
        <w:textAlignment w:val="auto"/>
        <w:outlineLvl w:val="9"/>
        <w:rPr>
          <w:rFonts w:hint="eastAsia"/>
          <w:b w:val="0"/>
          <w:bCs w:val="0"/>
          <w:sz w:val="28"/>
          <w:szCs w:val="28"/>
        </w:rPr>
      </w:pPr>
    </w:p>
    <w:p w14:paraId="19A3FBAE">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eastAsia"/>
          <w:b w:val="0"/>
          <w:bCs/>
          <w:sz w:val="28"/>
          <w:szCs w:val="24"/>
          <w:highlight w:val="none"/>
          <w:lang w:val="en-US" w:eastAsia="zh-CN"/>
        </w:rPr>
      </w:pPr>
      <w:bookmarkStart w:id="22" w:name="_Toc210"/>
      <w:r>
        <w:rPr>
          <w:rFonts w:hint="eastAsia"/>
          <w:b w:val="0"/>
          <w:bCs/>
          <w:sz w:val="28"/>
          <w:szCs w:val="24"/>
          <w:highlight w:val="none"/>
          <w:lang w:val="en-US" w:eastAsia="zh-CN"/>
        </w:rPr>
        <w:t>3.4 保洁服务</w:t>
      </w:r>
      <w:bookmarkEnd w:id="22"/>
    </w:p>
    <w:tbl>
      <w:tblPr>
        <w:tblStyle w:val="2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75"/>
        <w:gridCol w:w="5839"/>
      </w:tblGrid>
      <w:tr w14:paraId="7EDC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14:paraId="45241C5E">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1974" w:type="dxa"/>
            <w:noWrap w:val="0"/>
            <w:vAlign w:val="center"/>
          </w:tcPr>
          <w:p w14:paraId="22CBB48A">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5837" w:type="dxa"/>
            <w:noWrap w:val="0"/>
            <w:vAlign w:val="center"/>
          </w:tcPr>
          <w:p w14:paraId="07CAE984">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17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restart"/>
            <w:noWrap w:val="0"/>
            <w:vAlign w:val="center"/>
          </w:tcPr>
          <w:p w14:paraId="50ED7A6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1974" w:type="dxa"/>
            <w:vMerge w:val="restart"/>
            <w:noWrap w:val="0"/>
            <w:vAlign w:val="center"/>
          </w:tcPr>
          <w:p w14:paraId="319F3E1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5837" w:type="dxa"/>
            <w:noWrap w:val="0"/>
            <w:vAlign w:val="center"/>
          </w:tcPr>
          <w:p w14:paraId="6D705AD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14:paraId="598C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5A73F98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3CDE9D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37" w:type="dxa"/>
            <w:noWrap w:val="0"/>
            <w:vAlign w:val="center"/>
          </w:tcPr>
          <w:p w14:paraId="6F86EE5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14:paraId="30DE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327E46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562C8F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5837" w:type="dxa"/>
            <w:noWrap w:val="0"/>
            <w:vAlign w:val="center"/>
          </w:tcPr>
          <w:p w14:paraId="67043CB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14:paraId="55C5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31D8850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1974" w:type="dxa"/>
            <w:vMerge w:val="continue"/>
            <w:noWrap w:val="0"/>
            <w:vAlign w:val="center"/>
          </w:tcPr>
          <w:p w14:paraId="7382F6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D057E8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进入</w:t>
            </w:r>
            <w:r>
              <w:rPr>
                <w:rFonts w:hint="eastAsia" w:cs="Calibri"/>
                <w:b w:val="0"/>
                <w:bCs w:val="0"/>
                <w:color w:val="auto"/>
                <w:kern w:val="0"/>
                <w:szCs w:val="21"/>
                <w:highlight w:val="none"/>
                <w:lang w:val="en-US" w:eastAsia="zh-CN"/>
              </w:rPr>
              <w:t>评标区等保密</w:t>
            </w:r>
            <w:r>
              <w:rPr>
                <w:rFonts w:hint="eastAsia" w:ascii="Calibri" w:hAnsi="Calibri" w:eastAsia="宋体" w:cs="Calibri"/>
                <w:b w:val="0"/>
                <w:bCs w:val="0"/>
                <w:color w:val="auto"/>
                <w:kern w:val="0"/>
                <w:szCs w:val="21"/>
                <w:highlight w:val="none"/>
                <w:lang w:val="en-US" w:eastAsia="zh-CN"/>
              </w:rPr>
              <w:t>区域时，</w:t>
            </w:r>
            <w:r>
              <w:rPr>
                <w:rFonts w:hint="eastAsia" w:cs="Calibri"/>
                <w:b w:val="0"/>
                <w:bCs w:val="0"/>
                <w:color w:val="auto"/>
                <w:kern w:val="0"/>
                <w:szCs w:val="21"/>
                <w:highlight w:val="none"/>
                <w:lang w:val="en-US" w:eastAsia="zh-CN"/>
              </w:rPr>
              <w:t>严格遵守现场管理制度</w:t>
            </w:r>
            <w:r>
              <w:rPr>
                <w:rFonts w:hint="eastAsia" w:eastAsia="宋体" w:cs="Calibri"/>
                <w:b w:val="0"/>
                <w:bCs w:val="0"/>
                <w:color w:val="auto"/>
                <w:kern w:val="0"/>
                <w:szCs w:val="21"/>
                <w:highlight w:val="none"/>
                <w:lang w:val="en-US" w:eastAsia="zh-CN"/>
              </w:rPr>
              <w:t>。</w:t>
            </w:r>
          </w:p>
        </w:tc>
      </w:tr>
      <w:tr w14:paraId="5B98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14" w:type="dxa"/>
            <w:vMerge w:val="restart"/>
            <w:noWrap w:val="0"/>
            <w:vAlign w:val="center"/>
          </w:tcPr>
          <w:p w14:paraId="07BC8D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1974" w:type="dxa"/>
            <w:vMerge w:val="restart"/>
            <w:noWrap w:val="0"/>
            <w:vAlign w:val="center"/>
          </w:tcPr>
          <w:p w14:paraId="4BE4CE5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5837" w:type="dxa"/>
            <w:noWrap w:val="0"/>
            <w:vAlign w:val="center"/>
          </w:tcPr>
          <w:p w14:paraId="3B631B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14:paraId="606999B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2DDB6BB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w:t>
            </w:r>
            <w:r>
              <w:rPr>
                <w:rFonts w:hint="eastAsia" w:cs="Calibri"/>
                <w:b w:val="0"/>
                <w:bCs w:val="0"/>
                <w:color w:val="auto"/>
                <w:kern w:val="0"/>
                <w:szCs w:val="21"/>
                <w:highlight w:val="none"/>
                <w:lang w:val="en-US" w:eastAsia="zh-CN"/>
              </w:rPr>
              <w:t>月至少开展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14:paraId="3B0F4FC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734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14" w:type="dxa"/>
            <w:vMerge w:val="continue"/>
            <w:noWrap w:val="0"/>
            <w:vAlign w:val="center"/>
          </w:tcPr>
          <w:p w14:paraId="0F5838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50CD3B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6608CD4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14:paraId="20DEED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14:paraId="503E946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2557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7D0359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30B020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7E5D4AA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0B41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4A9DCB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15B107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0AF4F3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5AC2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4" w:type="dxa"/>
            <w:vMerge w:val="continue"/>
            <w:noWrap w:val="0"/>
            <w:vAlign w:val="center"/>
          </w:tcPr>
          <w:p w14:paraId="58DFC6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35EB2A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5F26A7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14:paraId="74E8770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30D391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14:paraId="4536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14" w:type="dxa"/>
            <w:vMerge w:val="continue"/>
            <w:noWrap w:val="0"/>
            <w:vAlign w:val="center"/>
          </w:tcPr>
          <w:p w14:paraId="2223BF69">
            <w:pPr>
              <w:keepNext w:val="0"/>
              <w:keepLines w:val="0"/>
              <w:pageBreakBefore w:val="0"/>
              <w:widowControl/>
              <w:kinsoku/>
              <w:wordWrap/>
              <w:overflowPunct/>
              <w:topLinePunct w:val="0"/>
              <w:autoSpaceDE/>
              <w:autoSpaceDN/>
              <w:bidi w:val="0"/>
              <w:adjustRightInd/>
              <w:snapToGrid w:val="0"/>
              <w:spacing w:line="300" w:lineRule="auto"/>
              <w:jc w:val="left"/>
              <w:textAlignment w:val="auto"/>
            </w:pPr>
          </w:p>
        </w:tc>
        <w:tc>
          <w:tcPr>
            <w:tcW w:w="1974" w:type="dxa"/>
            <w:vMerge w:val="continue"/>
            <w:noWrap w:val="0"/>
            <w:vAlign w:val="center"/>
          </w:tcPr>
          <w:p w14:paraId="20741332">
            <w:pPr>
              <w:keepNext w:val="0"/>
              <w:keepLines w:val="0"/>
              <w:pageBreakBefore w:val="0"/>
              <w:widowControl/>
              <w:kinsoku/>
              <w:wordWrap/>
              <w:overflowPunct/>
              <w:topLinePunct w:val="0"/>
              <w:autoSpaceDE/>
              <w:autoSpaceDN/>
              <w:bidi w:val="0"/>
              <w:adjustRightInd/>
              <w:snapToGrid w:val="0"/>
              <w:spacing w:line="300" w:lineRule="auto"/>
              <w:jc w:val="left"/>
              <w:textAlignment w:val="auto"/>
            </w:pPr>
          </w:p>
        </w:tc>
        <w:tc>
          <w:tcPr>
            <w:tcW w:w="5837" w:type="dxa"/>
            <w:noWrap w:val="0"/>
            <w:vAlign w:val="center"/>
          </w:tcPr>
          <w:p w14:paraId="69116A3B">
            <w:pPr>
              <w:keepNext w:val="0"/>
              <w:keepLines w:val="0"/>
              <w:pageBreakBefore w:val="0"/>
              <w:widowControl/>
              <w:numPr>
                <w:ilvl w:val="0"/>
                <w:numId w:val="4"/>
              </w:numPr>
              <w:kinsoku/>
              <w:wordWrap/>
              <w:overflowPunct/>
              <w:topLinePunct w:val="0"/>
              <w:autoSpaceDE/>
              <w:autoSpaceDN/>
              <w:bidi w:val="0"/>
              <w:adjustRightInd/>
              <w:snapToGrid w:val="0"/>
              <w:spacing w:line="300" w:lineRule="auto"/>
              <w:jc w:val="left"/>
              <w:textAlignment w:val="auto"/>
              <w:rPr>
                <w:rFonts w:hint="eastAsia"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快递收发室：</w:t>
            </w:r>
          </w:p>
          <w:p w14:paraId="3B2B7872">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保持干净，无异味、</w:t>
            </w:r>
            <w:r>
              <w:rPr>
                <w:rFonts w:hint="eastAsia" w:cs="Calibri"/>
                <w:b w:val="0"/>
                <w:bCs w:val="0"/>
                <w:color w:val="auto"/>
                <w:kern w:val="0"/>
                <w:szCs w:val="21"/>
                <w:highlight w:val="none"/>
                <w:lang w:val="en-US" w:eastAsia="zh-CN"/>
              </w:rPr>
              <w:t>快递信件</w:t>
            </w:r>
            <w:r>
              <w:rPr>
                <w:rFonts w:hint="eastAsia" w:ascii="Calibri" w:hAnsi="Calibri" w:eastAsia="宋体" w:cs="Calibri"/>
                <w:b w:val="0"/>
                <w:bCs w:val="0"/>
                <w:color w:val="auto"/>
                <w:kern w:val="0"/>
                <w:szCs w:val="21"/>
                <w:highlight w:val="none"/>
                <w:lang w:val="en-US" w:eastAsia="zh-CN"/>
              </w:rPr>
              <w:t>摆放整齐有序</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每</w:t>
            </w:r>
            <w:r>
              <w:rPr>
                <w:rFonts w:hint="eastAsia" w:cs="Calibri"/>
                <w:b w:val="0"/>
                <w:bCs w:val="0"/>
                <w:color w:val="auto"/>
                <w:kern w:val="0"/>
                <w:szCs w:val="21"/>
                <w:highlight w:val="none"/>
                <w:lang w:val="en-US" w:eastAsia="zh-CN"/>
              </w:rPr>
              <w:t>周至少开展</w:t>
            </w:r>
            <w:r>
              <w:rPr>
                <w:rFonts w:hint="eastAsia" w:eastAsia="宋体" w:cs="Calibri"/>
                <w:b w:val="0"/>
                <w:bCs w:val="0"/>
                <w:color w:val="auto"/>
                <w:kern w:val="0"/>
                <w:szCs w:val="21"/>
                <w:highlight w:val="none"/>
                <w:lang w:val="en-US" w:eastAsia="zh-CN"/>
              </w:rPr>
              <w:t>1次清洁作业</w:t>
            </w:r>
            <w:r>
              <w:rPr>
                <w:rFonts w:hint="eastAsia" w:cs="Calibri"/>
                <w:b w:val="0"/>
                <w:bCs w:val="0"/>
                <w:color w:val="auto"/>
                <w:kern w:val="0"/>
                <w:szCs w:val="21"/>
                <w:highlight w:val="none"/>
                <w:lang w:val="en-US" w:eastAsia="zh-CN"/>
              </w:rPr>
              <w:t>。</w:t>
            </w:r>
          </w:p>
        </w:tc>
      </w:tr>
      <w:tr w14:paraId="04D2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14" w:type="dxa"/>
            <w:vMerge w:val="continue"/>
            <w:noWrap w:val="0"/>
            <w:vAlign w:val="center"/>
          </w:tcPr>
          <w:p w14:paraId="6F3CFA4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7F4CEA6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924535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14:paraId="595F644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至少开展2</w:t>
            </w:r>
            <w:r>
              <w:rPr>
                <w:rFonts w:hint="eastAsia" w:eastAsia="宋体" w:cs="Calibri"/>
                <w:b w:val="0"/>
                <w:bCs w:val="0"/>
                <w:color w:val="auto"/>
                <w:kern w:val="0"/>
                <w:szCs w:val="21"/>
                <w:highlight w:val="none"/>
                <w:lang w:val="en-US" w:eastAsia="zh-CN"/>
              </w:rPr>
              <w:t>次清洁作业。</w:t>
            </w:r>
          </w:p>
          <w:p w14:paraId="0AF550B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14:paraId="1DF0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14" w:type="dxa"/>
            <w:vMerge w:val="continue"/>
            <w:noWrap w:val="0"/>
            <w:vAlign w:val="center"/>
          </w:tcPr>
          <w:p w14:paraId="21D6C8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1D3F1C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252E2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14:paraId="080FC4CC">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14:paraId="73A12DB3">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14:paraId="03AE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1AC470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1ABCD6D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1F61DCA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（9）</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14:paraId="350C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restart"/>
            <w:noWrap w:val="0"/>
            <w:vAlign w:val="center"/>
          </w:tcPr>
          <w:p w14:paraId="1867221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1974" w:type="dxa"/>
            <w:vMerge w:val="restart"/>
            <w:noWrap w:val="0"/>
            <w:vAlign w:val="center"/>
          </w:tcPr>
          <w:p w14:paraId="054F526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5837" w:type="dxa"/>
            <w:noWrap w:val="0"/>
            <w:vAlign w:val="center"/>
          </w:tcPr>
          <w:p w14:paraId="244941A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14:paraId="5B00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4F0EA6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974" w:type="dxa"/>
            <w:vMerge w:val="continue"/>
            <w:noWrap w:val="0"/>
            <w:vAlign w:val="center"/>
          </w:tcPr>
          <w:p w14:paraId="1A6FCD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5D0FD07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14:paraId="7D54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72E8DF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1974" w:type="dxa"/>
            <w:vMerge w:val="continue"/>
            <w:noWrap w:val="0"/>
            <w:vAlign w:val="center"/>
          </w:tcPr>
          <w:p w14:paraId="6B9E6B8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771BDB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highlight w:val="none"/>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14:paraId="2319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restart"/>
            <w:noWrap w:val="0"/>
            <w:vAlign w:val="center"/>
          </w:tcPr>
          <w:p w14:paraId="0CA272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1974" w:type="dxa"/>
            <w:vMerge w:val="restart"/>
            <w:noWrap w:val="0"/>
            <w:vAlign w:val="center"/>
          </w:tcPr>
          <w:p w14:paraId="1908C11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5837" w:type="dxa"/>
            <w:noWrap w:val="0"/>
            <w:vAlign w:val="center"/>
          </w:tcPr>
          <w:p w14:paraId="5917A37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14:paraId="030E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1BE7BD5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6ED0ED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03EDCFE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14:paraId="41B2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17A17F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47677F9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E012B7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6F87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588A60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61AD5E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7127DD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14:paraId="36D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63BA181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427F65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42C712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14:paraId="64F7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5B9F3D3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0A0B872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084FE14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14:paraId="380A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vMerge w:val="continue"/>
            <w:noWrap w:val="0"/>
            <w:vAlign w:val="center"/>
          </w:tcPr>
          <w:p w14:paraId="482F1F9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218DE58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6960CBE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14:paraId="4B53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4" w:type="dxa"/>
            <w:vMerge w:val="restart"/>
            <w:noWrap w:val="0"/>
            <w:vAlign w:val="center"/>
          </w:tcPr>
          <w:p w14:paraId="7106B9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1974" w:type="dxa"/>
            <w:vMerge w:val="restart"/>
            <w:noWrap w:val="0"/>
            <w:vAlign w:val="center"/>
          </w:tcPr>
          <w:p w14:paraId="1E98CDA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5837" w:type="dxa"/>
            <w:noWrap w:val="0"/>
            <w:vAlign w:val="center"/>
          </w:tcPr>
          <w:p w14:paraId="11920D7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14:paraId="145A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continue"/>
            <w:noWrap w:val="0"/>
            <w:vAlign w:val="center"/>
          </w:tcPr>
          <w:p w14:paraId="6F0A82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7D912B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321812C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14:paraId="7F17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restart"/>
            <w:noWrap w:val="0"/>
            <w:vAlign w:val="center"/>
          </w:tcPr>
          <w:p w14:paraId="0B0AE3D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6</w:t>
            </w:r>
          </w:p>
        </w:tc>
        <w:tc>
          <w:tcPr>
            <w:tcW w:w="1974" w:type="dxa"/>
            <w:vMerge w:val="restart"/>
            <w:noWrap w:val="0"/>
            <w:vAlign w:val="center"/>
          </w:tcPr>
          <w:p w14:paraId="1920C3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开评标区及专家休息室保洁</w:t>
            </w:r>
          </w:p>
        </w:tc>
        <w:tc>
          <w:tcPr>
            <w:tcW w:w="5837" w:type="dxa"/>
            <w:noWrap w:val="0"/>
            <w:vAlign w:val="center"/>
          </w:tcPr>
          <w:p w14:paraId="12FB78D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（1）开标前，开评标区保洁到位，提前备好茶水。</w:t>
            </w:r>
          </w:p>
        </w:tc>
      </w:tr>
      <w:tr w14:paraId="1E11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continue"/>
            <w:noWrap w:val="0"/>
            <w:vAlign w:val="center"/>
          </w:tcPr>
          <w:p w14:paraId="0C1BF5A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64E160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279E9D9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（2）每日及时清理评标区厨余垃圾，及时备好开水。</w:t>
            </w:r>
          </w:p>
        </w:tc>
      </w:tr>
      <w:tr w14:paraId="25C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4" w:type="dxa"/>
            <w:vMerge w:val="continue"/>
            <w:noWrap w:val="0"/>
            <w:vAlign w:val="center"/>
          </w:tcPr>
          <w:p w14:paraId="7D1F6E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1974" w:type="dxa"/>
            <w:vMerge w:val="continue"/>
            <w:noWrap w:val="0"/>
            <w:vAlign w:val="center"/>
          </w:tcPr>
          <w:p w14:paraId="7267130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5837" w:type="dxa"/>
            <w:noWrap w:val="0"/>
            <w:vAlign w:val="center"/>
          </w:tcPr>
          <w:p w14:paraId="6B20B33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（3）每日及时清洁专家休息室，更换、清洗使用过的床单被套，根据情况晾晒被褥。</w:t>
            </w:r>
          </w:p>
        </w:tc>
      </w:tr>
    </w:tbl>
    <w:p w14:paraId="11163E13">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9"/>
        <w:rPr>
          <w:rFonts w:hint="eastAsia"/>
          <w:b w:val="0"/>
          <w:bCs/>
          <w:sz w:val="28"/>
          <w:szCs w:val="24"/>
          <w:highlight w:val="none"/>
          <w:lang w:val="en-US" w:eastAsia="zh-CN"/>
        </w:rPr>
      </w:pPr>
    </w:p>
    <w:p w14:paraId="7BED00F9">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default"/>
          <w:b w:val="0"/>
          <w:bCs/>
          <w:sz w:val="28"/>
          <w:szCs w:val="24"/>
          <w:highlight w:val="none"/>
          <w:lang w:val="en-US" w:eastAsia="zh-CN"/>
        </w:rPr>
      </w:pPr>
      <w:bookmarkStart w:id="23" w:name="_Toc10893"/>
      <w:r>
        <w:rPr>
          <w:rFonts w:hint="eastAsia"/>
          <w:b w:val="0"/>
          <w:bCs/>
          <w:sz w:val="28"/>
          <w:szCs w:val="24"/>
          <w:highlight w:val="none"/>
          <w:lang w:val="en-US" w:eastAsia="zh-CN"/>
        </w:rPr>
        <w:t xml:space="preserve">3.5 </w:t>
      </w:r>
      <w:r>
        <w:rPr>
          <w:rFonts w:hint="default"/>
          <w:b w:val="0"/>
          <w:bCs/>
          <w:sz w:val="28"/>
          <w:szCs w:val="24"/>
          <w:highlight w:val="none"/>
          <w:lang w:val="en-US" w:eastAsia="zh-CN"/>
        </w:rPr>
        <w:t>绿化服务</w:t>
      </w:r>
      <w:bookmarkEnd w:id="23"/>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973"/>
        <w:gridCol w:w="5816"/>
      </w:tblGrid>
      <w:tr w14:paraId="1D98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noWrap w:val="0"/>
            <w:vAlign w:val="center"/>
          </w:tcPr>
          <w:p w14:paraId="3423416A">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80" w:type="dxa"/>
            <w:noWrap w:val="0"/>
            <w:vAlign w:val="center"/>
          </w:tcPr>
          <w:p w14:paraId="6A817FC9">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670" w:type="dxa"/>
            <w:noWrap w:val="0"/>
            <w:vAlign w:val="center"/>
          </w:tcPr>
          <w:p w14:paraId="69925C46">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01F0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noWrap w:val="0"/>
            <w:vAlign w:val="center"/>
          </w:tcPr>
          <w:p w14:paraId="03ADC62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280" w:type="dxa"/>
            <w:vMerge w:val="restart"/>
            <w:noWrap w:val="0"/>
            <w:vAlign w:val="center"/>
          </w:tcPr>
          <w:p w14:paraId="690CEB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9670" w:type="dxa"/>
            <w:noWrap w:val="0"/>
            <w:vAlign w:val="center"/>
          </w:tcPr>
          <w:p w14:paraId="19A0C8E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14:paraId="0107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43AAC9B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59C23C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224985F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14:paraId="361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60065F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3FE5A31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4002734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14:paraId="2EEE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5EFCA54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280" w:type="dxa"/>
            <w:vMerge w:val="continue"/>
            <w:noWrap w:val="0"/>
            <w:vAlign w:val="center"/>
          </w:tcPr>
          <w:p w14:paraId="309DA22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670" w:type="dxa"/>
            <w:noWrap w:val="0"/>
            <w:vAlign w:val="center"/>
          </w:tcPr>
          <w:p w14:paraId="5D8A62F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14:paraId="6459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restart"/>
            <w:noWrap w:val="0"/>
            <w:vAlign w:val="center"/>
          </w:tcPr>
          <w:p w14:paraId="621486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280" w:type="dxa"/>
            <w:vMerge w:val="restart"/>
            <w:noWrap w:val="0"/>
            <w:vAlign w:val="center"/>
          </w:tcPr>
          <w:p w14:paraId="5729FB1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9670" w:type="dxa"/>
            <w:noWrap w:val="0"/>
            <w:vAlign w:val="center"/>
          </w:tcPr>
          <w:p w14:paraId="7AAAF43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14:paraId="7EA7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32E973E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51BB62A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79AC770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14:paraId="4974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4D40853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6B894F7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3CD5B0B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14:paraId="656B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79C7809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379A91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0696196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14:paraId="6BC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73F1FB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24DAC8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640510E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14:paraId="2642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40055EC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80" w:type="dxa"/>
            <w:vMerge w:val="continue"/>
            <w:noWrap w:val="0"/>
            <w:vAlign w:val="center"/>
          </w:tcPr>
          <w:p w14:paraId="45F7F90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670" w:type="dxa"/>
            <w:noWrap w:val="0"/>
            <w:vAlign w:val="center"/>
          </w:tcPr>
          <w:p w14:paraId="3AC87A0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14:paraId="5C26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07" w:type="dxa"/>
            <w:vMerge w:val="continue"/>
            <w:noWrap w:val="0"/>
            <w:vAlign w:val="center"/>
          </w:tcPr>
          <w:p w14:paraId="7004A72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280" w:type="dxa"/>
            <w:vMerge w:val="continue"/>
            <w:noWrap w:val="0"/>
            <w:vAlign w:val="center"/>
          </w:tcPr>
          <w:p w14:paraId="3D19DCA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670" w:type="dxa"/>
            <w:noWrap w:val="0"/>
            <w:vAlign w:val="center"/>
          </w:tcPr>
          <w:p w14:paraId="6E1CA4E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bl>
    <w:p w14:paraId="691C7201">
      <w:pPr>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outlineLvl w:val="9"/>
        <w:rPr>
          <w:rFonts w:hint="eastAsia" w:cs="Times New Roman"/>
          <w:b/>
          <w:bCs w:val="0"/>
          <w:i w:val="0"/>
          <w:iCs w:val="0"/>
          <w:sz w:val="28"/>
          <w:szCs w:val="24"/>
          <w:highlight w:val="none"/>
          <w:u w:val="none"/>
          <w:lang w:val="en-US" w:eastAsia="zh-CN"/>
        </w:rPr>
      </w:pPr>
    </w:p>
    <w:p w14:paraId="0A5B98DB">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default"/>
          <w:b w:val="0"/>
          <w:bCs/>
          <w:sz w:val="28"/>
          <w:szCs w:val="24"/>
          <w:highlight w:val="none"/>
          <w:lang w:val="en-US" w:eastAsia="zh-CN"/>
        </w:rPr>
      </w:pPr>
      <w:bookmarkStart w:id="24" w:name="_Toc25592"/>
      <w:r>
        <w:rPr>
          <w:rFonts w:hint="eastAsia"/>
          <w:b w:val="0"/>
          <w:bCs/>
          <w:sz w:val="28"/>
          <w:szCs w:val="24"/>
          <w:highlight w:val="none"/>
          <w:lang w:val="en-US" w:eastAsia="zh-CN"/>
        </w:rPr>
        <w:t>3.6 保安服务</w:t>
      </w:r>
      <w:bookmarkEnd w:id="24"/>
    </w:p>
    <w:tbl>
      <w:tblPr>
        <w:tblStyle w:val="21"/>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72"/>
        <w:gridCol w:w="5788"/>
      </w:tblGrid>
      <w:tr w14:paraId="3CD0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noWrap w:val="0"/>
            <w:vAlign w:val="center"/>
          </w:tcPr>
          <w:p w14:paraId="6C8DFD72">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78" w:type="dxa"/>
            <w:noWrap w:val="0"/>
            <w:vAlign w:val="center"/>
          </w:tcPr>
          <w:p w14:paraId="4E4670F5">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623" w:type="dxa"/>
            <w:noWrap w:val="0"/>
            <w:vAlign w:val="center"/>
          </w:tcPr>
          <w:p w14:paraId="6EA7B26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3F8B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12AF94E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3278" w:type="dxa"/>
            <w:vMerge w:val="restart"/>
            <w:noWrap w:val="0"/>
            <w:vAlign w:val="center"/>
          </w:tcPr>
          <w:p w14:paraId="3AE9A02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9623" w:type="dxa"/>
            <w:noWrap w:val="0"/>
            <w:vAlign w:val="center"/>
          </w:tcPr>
          <w:p w14:paraId="23B5D8E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14:paraId="2998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A00F59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34EC13A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A0B07C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14:paraId="5E51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177E3E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7A3C8EB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36E712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14:paraId="71D5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250C4E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278" w:type="dxa"/>
            <w:vMerge w:val="restart"/>
            <w:noWrap w:val="0"/>
            <w:vAlign w:val="center"/>
          </w:tcPr>
          <w:p w14:paraId="7EC938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9623" w:type="dxa"/>
            <w:noWrap w:val="0"/>
            <w:vAlign w:val="center"/>
          </w:tcPr>
          <w:p w14:paraId="3CB2B01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14:paraId="3B2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4461AC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35BB6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FF3634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（2）设置门岗。</w:t>
            </w:r>
          </w:p>
        </w:tc>
      </w:tr>
      <w:tr w14:paraId="247A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4B900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7BC603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0C6BF39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14:paraId="6AF9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1B073EB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2BF1FB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3B7E49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14:paraId="6031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22" w:type="dxa"/>
            <w:vMerge w:val="continue"/>
            <w:noWrap w:val="0"/>
            <w:vAlign w:val="center"/>
          </w:tcPr>
          <w:p w14:paraId="75FC003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747D859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607E2E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14:paraId="57F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4F350C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10F8867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EF9FBA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14:paraId="1558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94CD1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6A0C2AF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DA99B3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14:paraId="3C6E6C2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14:paraId="0D4636E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14:paraId="683EBD5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③物品摆放整齐有序、分类放置。</w:t>
            </w:r>
          </w:p>
          <w:p w14:paraId="1EF6C8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14:paraId="78626FB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14:paraId="6459302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w:t>
            </w:r>
          </w:p>
          <w:p w14:paraId="4EA5936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14:paraId="7325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B2422D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710DC8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0D3697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（9）协助专家做好进入评标区前的准备，禁止专家携带通讯设备。</w:t>
            </w:r>
          </w:p>
        </w:tc>
      </w:tr>
      <w:tr w14:paraId="1C51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6CDB35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3278" w:type="dxa"/>
            <w:vMerge w:val="restart"/>
            <w:noWrap w:val="0"/>
            <w:vAlign w:val="center"/>
          </w:tcPr>
          <w:p w14:paraId="453CCC9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9623" w:type="dxa"/>
            <w:noWrap w:val="0"/>
            <w:vAlign w:val="center"/>
          </w:tcPr>
          <w:p w14:paraId="0214EB0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14:paraId="17AA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5511A08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20B04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623" w:type="dxa"/>
            <w:noWrap w:val="0"/>
            <w:vAlign w:val="center"/>
          </w:tcPr>
          <w:p w14:paraId="5D977BB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14:paraId="4B17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F43D4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882C65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623" w:type="dxa"/>
            <w:noWrap w:val="0"/>
            <w:vAlign w:val="center"/>
          </w:tcPr>
          <w:p w14:paraId="5C739CE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14:paraId="7C44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380C74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278" w:type="dxa"/>
            <w:vMerge w:val="continue"/>
            <w:noWrap w:val="0"/>
            <w:vAlign w:val="center"/>
          </w:tcPr>
          <w:p w14:paraId="044674E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026791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14:paraId="2EC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5E3E570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278" w:type="dxa"/>
            <w:vMerge w:val="restart"/>
            <w:noWrap w:val="0"/>
            <w:vAlign w:val="center"/>
          </w:tcPr>
          <w:p w14:paraId="46CE51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9623" w:type="dxa"/>
            <w:noWrap w:val="0"/>
            <w:vAlign w:val="center"/>
          </w:tcPr>
          <w:p w14:paraId="6544452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14:paraId="770B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4E915C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2AEA241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F3562C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14:paraId="32F2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F5E307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012CE13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5B7AEE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14:paraId="3114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4620A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7AD6035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561C2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14:paraId="3342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EDFD82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3AFFEE6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0F4E4D9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14:paraId="5A7E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22" w:type="dxa"/>
            <w:vMerge w:val="continue"/>
            <w:noWrap w:val="0"/>
            <w:vAlign w:val="center"/>
          </w:tcPr>
          <w:p w14:paraId="6695553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5A67AA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B017B3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14:paraId="5B87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0176DE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0A95669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CBADA4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14:paraId="32A5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1C97099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278" w:type="dxa"/>
            <w:vMerge w:val="restart"/>
            <w:noWrap w:val="0"/>
            <w:vAlign w:val="center"/>
          </w:tcPr>
          <w:p w14:paraId="2258470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9623" w:type="dxa"/>
            <w:noWrap w:val="0"/>
            <w:vAlign w:val="center"/>
          </w:tcPr>
          <w:p w14:paraId="04B4A45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14:paraId="2331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51CA6F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20E76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77428A7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14:paraId="076F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1A17856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089628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758DFD9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严禁在办公楼的公用走道、楼梯间、安全出口处等公共区域停放车辆或充电</w:t>
            </w:r>
            <w:r>
              <w:rPr>
                <w:rFonts w:hint="eastAsia" w:eastAsia="宋体" w:cs="Calibri"/>
                <w:b w:val="0"/>
                <w:bCs w:val="0"/>
                <w:color w:val="auto"/>
                <w:kern w:val="0"/>
                <w:szCs w:val="21"/>
                <w:highlight w:val="none"/>
                <w:lang w:val="en-US" w:eastAsia="zh-CN"/>
              </w:rPr>
              <w:t>。</w:t>
            </w:r>
          </w:p>
        </w:tc>
      </w:tr>
      <w:tr w14:paraId="3E67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7B53CE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3C1FF95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03EC192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14:paraId="1BF8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83D69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602339F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51DC2A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14:paraId="4346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4CF1E76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3278" w:type="dxa"/>
            <w:vMerge w:val="restart"/>
            <w:noWrap w:val="0"/>
            <w:vAlign w:val="center"/>
          </w:tcPr>
          <w:p w14:paraId="0C7BA22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9623" w:type="dxa"/>
            <w:noWrap w:val="0"/>
            <w:vAlign w:val="center"/>
          </w:tcPr>
          <w:p w14:paraId="7597F47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14:paraId="3F2C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4F8C91B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67F34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7A01A56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14:paraId="709B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4834E3D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A7091C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98B10B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14:paraId="7EE9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18CC91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7186BB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3EEA66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14:paraId="4467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57C34B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5CF7BF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35F2034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14:paraId="67B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2610262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278" w:type="dxa"/>
            <w:vMerge w:val="restart"/>
            <w:noWrap w:val="0"/>
            <w:vAlign w:val="center"/>
          </w:tcPr>
          <w:p w14:paraId="5353750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9623" w:type="dxa"/>
            <w:noWrap w:val="0"/>
            <w:vAlign w:val="center"/>
          </w:tcPr>
          <w:p w14:paraId="15494D4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14:paraId="41C9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2406D60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88F2DA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D409A3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eastAsia="宋体" w:cs="Calibri"/>
                <w:b w:val="0"/>
                <w:bCs w:val="0"/>
                <w:color w:val="auto"/>
                <w:kern w:val="0"/>
                <w:szCs w:val="21"/>
                <w:highlight w:val="none"/>
                <w:lang w:val="en-US" w:eastAsia="zh-CN"/>
              </w:rPr>
              <w:t>。</w:t>
            </w:r>
          </w:p>
        </w:tc>
      </w:tr>
      <w:tr w14:paraId="0660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6710F78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1F44D1B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6A67E177">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14:paraId="2DF7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CC759F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5D30C17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27A1DF4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1次突发事件应急演练，并有相应记录</w:t>
            </w:r>
            <w:r>
              <w:rPr>
                <w:rFonts w:hint="eastAsia" w:eastAsia="宋体" w:cs="Calibri"/>
                <w:b w:val="0"/>
                <w:bCs w:val="0"/>
                <w:color w:val="auto"/>
                <w:kern w:val="0"/>
                <w:szCs w:val="21"/>
                <w:highlight w:val="none"/>
                <w:lang w:val="en-US" w:eastAsia="zh-CN"/>
              </w:rPr>
              <w:t>。</w:t>
            </w:r>
          </w:p>
        </w:tc>
      </w:tr>
      <w:tr w14:paraId="70B8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AE6DC2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192FFA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0197BC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（5）</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14:paraId="0EA1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756B8E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4DBCEBC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5B2359D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（6）</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14:paraId="2DF6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restart"/>
            <w:noWrap w:val="0"/>
            <w:vAlign w:val="center"/>
          </w:tcPr>
          <w:p w14:paraId="2183F1A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278" w:type="dxa"/>
            <w:vMerge w:val="restart"/>
            <w:noWrap w:val="0"/>
            <w:vAlign w:val="center"/>
          </w:tcPr>
          <w:p w14:paraId="63047C7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9623" w:type="dxa"/>
            <w:noWrap w:val="0"/>
            <w:vAlign w:val="center"/>
          </w:tcPr>
          <w:p w14:paraId="2680DAF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14:paraId="0C58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064ED51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278" w:type="dxa"/>
            <w:vMerge w:val="continue"/>
            <w:noWrap w:val="0"/>
            <w:vAlign w:val="center"/>
          </w:tcPr>
          <w:p w14:paraId="01656C2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4A6389C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14:paraId="598A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dxa"/>
            <w:vMerge w:val="continue"/>
            <w:noWrap w:val="0"/>
            <w:vAlign w:val="center"/>
          </w:tcPr>
          <w:p w14:paraId="5D8CA97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278" w:type="dxa"/>
            <w:vMerge w:val="continue"/>
            <w:noWrap w:val="0"/>
            <w:vAlign w:val="center"/>
          </w:tcPr>
          <w:p w14:paraId="6A49E05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623" w:type="dxa"/>
            <w:noWrap w:val="0"/>
            <w:vAlign w:val="center"/>
          </w:tcPr>
          <w:p w14:paraId="1924952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bl>
    <w:p w14:paraId="2A4E1312">
      <w:pPr>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outlineLvl w:val="9"/>
        <w:rPr>
          <w:rFonts w:hint="eastAsia"/>
          <w:highlight w:val="none"/>
          <w:lang w:val="en-US" w:eastAsia="zh-CN"/>
        </w:rPr>
      </w:pPr>
    </w:p>
    <w:p w14:paraId="46887960">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default"/>
          <w:b w:val="0"/>
          <w:bCs/>
          <w:sz w:val="28"/>
          <w:szCs w:val="24"/>
          <w:highlight w:val="none"/>
          <w:lang w:val="en-US" w:eastAsia="zh-CN"/>
        </w:rPr>
      </w:pPr>
      <w:bookmarkStart w:id="25" w:name="_Toc20373"/>
      <w:r>
        <w:rPr>
          <w:rFonts w:hint="eastAsia"/>
          <w:b w:val="0"/>
          <w:bCs/>
          <w:sz w:val="28"/>
          <w:szCs w:val="24"/>
          <w:highlight w:val="none"/>
          <w:lang w:val="en-US" w:eastAsia="zh-CN"/>
        </w:rPr>
        <w:t>3.7 会议服务</w:t>
      </w:r>
      <w:bookmarkEnd w:id="25"/>
    </w:p>
    <w:tbl>
      <w:tblPr>
        <w:tblStyle w:val="21"/>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61"/>
        <w:gridCol w:w="5777"/>
      </w:tblGrid>
      <w:tr w14:paraId="4DF1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4A43EAA9">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259" w:type="dxa"/>
            <w:noWrap w:val="0"/>
            <w:vAlign w:val="center"/>
          </w:tcPr>
          <w:p w14:paraId="4A03FB45">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606" w:type="dxa"/>
            <w:noWrap w:val="0"/>
            <w:vAlign w:val="center"/>
          </w:tcPr>
          <w:p w14:paraId="4DF29719">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B2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128A7B4E">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3259" w:type="dxa"/>
            <w:noWrap w:val="0"/>
            <w:vAlign w:val="center"/>
          </w:tcPr>
          <w:p w14:paraId="450794C0">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9606" w:type="dxa"/>
            <w:noWrap w:val="0"/>
            <w:vAlign w:val="center"/>
          </w:tcPr>
          <w:p w14:paraId="27729D53">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Calibri" w:hAnsi="Calibri" w:eastAsia="宋体" w:cs="Calibri"/>
                <w:color w:val="auto"/>
                <w:kern w:val="2"/>
                <w:sz w:val="21"/>
                <w:szCs w:val="21"/>
                <w:highlight w:val="none"/>
                <w:u w:val="none"/>
                <w:lang w:val="en-US" w:eastAsia="zh-CN" w:bidi="ar-SA"/>
              </w:rPr>
            </w:pPr>
            <w:r>
              <w:rPr>
                <w:rFonts w:hint="eastAsia" w:cs="Calibri"/>
                <w:color w:val="auto"/>
                <w:szCs w:val="21"/>
                <w:highlight w:val="none"/>
                <w:u w:val="none"/>
                <w:lang w:val="en-US" w:eastAsia="zh-CN"/>
              </w:rPr>
              <w:t>（1）</w:t>
            </w: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cs="Calibri"/>
                <w:color w:val="auto"/>
                <w:szCs w:val="21"/>
                <w:highlight w:val="none"/>
                <w:u w:val="none"/>
                <w:lang w:val="en-US" w:eastAsia="zh-CN"/>
              </w:rPr>
              <w:t>，音、视频设施保障措施。（2）准备好茶水。</w:t>
            </w:r>
          </w:p>
        </w:tc>
      </w:tr>
      <w:tr w14:paraId="5226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2A18CBC3">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eastAsia="宋体" w:cs="Calibri"/>
                <w:color w:val="auto"/>
                <w:szCs w:val="21"/>
                <w:highlight w:val="none"/>
                <w:u w:val="none"/>
                <w:lang w:val="en-US" w:eastAsia="zh-CN"/>
              </w:rPr>
              <w:t>2</w:t>
            </w:r>
          </w:p>
        </w:tc>
        <w:tc>
          <w:tcPr>
            <w:tcW w:w="3259" w:type="dxa"/>
            <w:noWrap w:val="0"/>
            <w:vAlign w:val="center"/>
          </w:tcPr>
          <w:p w14:paraId="2ECFF0C8">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9606" w:type="dxa"/>
            <w:noWrap w:val="0"/>
            <w:vAlign w:val="center"/>
          </w:tcPr>
          <w:p w14:paraId="59BD3585">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Calibri" w:hAnsi="Calibri" w:eastAsia="宋体" w:cs="Calibri"/>
                <w:color w:val="auto"/>
                <w:kern w:val="2"/>
                <w:sz w:val="21"/>
                <w:szCs w:val="21"/>
                <w:highlight w:val="none"/>
                <w:u w:val="none"/>
                <w:lang w:val="en-US" w:eastAsia="zh-CN" w:bidi="ar-SA"/>
              </w:rPr>
            </w:pPr>
            <w:r>
              <w:rPr>
                <w:rFonts w:hint="eastAsia" w:cs="Calibri"/>
                <w:color w:val="auto"/>
                <w:szCs w:val="21"/>
                <w:highlight w:val="none"/>
                <w:u w:val="none"/>
                <w:lang w:val="en-US" w:eastAsia="zh-CN"/>
              </w:rPr>
              <w:t>（3）</w:t>
            </w:r>
            <w:r>
              <w:rPr>
                <w:rFonts w:hint="default" w:ascii="Calibri" w:hAnsi="Calibri" w:eastAsia="宋体" w:cs="Calibri"/>
                <w:color w:val="auto"/>
                <w:szCs w:val="21"/>
                <w:highlight w:val="none"/>
                <w:u w:val="none"/>
                <w:lang w:val="en-US" w:eastAsia="zh-CN"/>
              </w:rPr>
              <w:t>对会议现场进行检查，做好会场清扫工作。</w:t>
            </w:r>
          </w:p>
        </w:tc>
      </w:tr>
      <w:tr w14:paraId="3CCB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noWrap w:val="0"/>
            <w:vAlign w:val="center"/>
          </w:tcPr>
          <w:p w14:paraId="490B0D18">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color w:val="auto"/>
                <w:szCs w:val="21"/>
                <w:highlight w:val="none"/>
                <w:u w:val="none"/>
                <w:lang w:val="en-US" w:eastAsia="zh-CN"/>
              </w:rPr>
            </w:pPr>
            <w:r>
              <w:rPr>
                <w:rFonts w:hint="eastAsia" w:cs="Calibri"/>
                <w:b/>
                <w:bCs/>
                <w:color w:val="auto"/>
                <w:kern w:val="0"/>
                <w:szCs w:val="21"/>
                <w:highlight w:val="none"/>
                <w:lang w:val="en-US" w:eastAsia="zh-CN"/>
              </w:rPr>
              <w:t>序号</w:t>
            </w:r>
          </w:p>
        </w:tc>
        <w:tc>
          <w:tcPr>
            <w:tcW w:w="3259" w:type="dxa"/>
            <w:noWrap w:val="0"/>
            <w:vAlign w:val="center"/>
          </w:tcPr>
          <w:p w14:paraId="084F7640">
            <w:pPr>
              <w:pageBreakBefore w:val="0"/>
              <w:widowControl/>
              <w:kinsoku/>
              <w:wordWrap/>
              <w:overflowPunct/>
              <w:topLinePunct w:val="0"/>
              <w:bidi w:val="0"/>
              <w:snapToGrid w:val="0"/>
              <w:spacing w:line="300" w:lineRule="auto"/>
              <w:ind w:left="0" w:leftChars="0"/>
              <w:jc w:val="center"/>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bCs/>
                <w:color w:val="auto"/>
                <w:kern w:val="0"/>
                <w:szCs w:val="21"/>
                <w:highlight w:val="none"/>
              </w:rPr>
              <w:t>服务内容</w:t>
            </w:r>
          </w:p>
        </w:tc>
        <w:tc>
          <w:tcPr>
            <w:tcW w:w="9606" w:type="dxa"/>
            <w:noWrap w:val="0"/>
            <w:vAlign w:val="center"/>
          </w:tcPr>
          <w:p w14:paraId="0518EB50">
            <w:pPr>
              <w:pageBreakBefore w:val="0"/>
              <w:widowControl/>
              <w:kinsoku/>
              <w:wordWrap/>
              <w:overflowPunct/>
              <w:topLinePunct w:val="0"/>
              <w:bidi w:val="0"/>
              <w:snapToGrid w:val="0"/>
              <w:spacing w:line="300" w:lineRule="auto"/>
              <w:ind w:left="0" w:leftChars="0"/>
              <w:jc w:val="center"/>
              <w:rPr>
                <w:rFonts w:hint="eastAsia" w:ascii="Calibri" w:hAnsi="Calibri" w:eastAsia="宋体" w:cs="Calibri"/>
                <w:color w:val="auto"/>
                <w:kern w:val="2"/>
                <w:sz w:val="21"/>
                <w:szCs w:val="21"/>
                <w:highlight w:val="none"/>
                <w:u w:val="none"/>
                <w:lang w:val="en-US" w:eastAsia="zh-CN" w:bidi="ar-SA"/>
              </w:rPr>
            </w:pPr>
            <w:r>
              <w:rPr>
                <w:rFonts w:hint="eastAsia" w:cs="Calibri"/>
                <w:b/>
                <w:bCs/>
                <w:color w:val="auto"/>
                <w:kern w:val="0"/>
                <w:szCs w:val="21"/>
                <w:highlight w:val="none"/>
                <w:lang w:val="en-US" w:eastAsia="zh-CN"/>
              </w:rPr>
              <w:t>服务标准</w:t>
            </w:r>
          </w:p>
        </w:tc>
      </w:tr>
    </w:tbl>
    <w:p w14:paraId="749D26B3">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sz w:val="28"/>
          <w:szCs w:val="28"/>
          <w:lang w:val="en-US" w:eastAsia="zh-CN"/>
        </w:rPr>
      </w:pPr>
    </w:p>
    <w:p w14:paraId="18431009">
      <w:pPr>
        <w:keepNext w:val="0"/>
        <w:keepLines w:val="0"/>
        <w:pageBreakBefore w:val="0"/>
        <w:widowControl w:val="0"/>
        <w:kinsoku/>
        <w:wordWrap/>
        <w:overflowPunct/>
        <w:topLinePunct w:val="0"/>
        <w:autoSpaceDE w:val="0"/>
        <w:autoSpaceDN w:val="0"/>
        <w:bidi w:val="0"/>
        <w:adjustRightInd/>
        <w:snapToGrid w:val="0"/>
        <w:ind w:left="0" w:leftChars="0" w:firstLine="560" w:firstLineChars="200"/>
        <w:textAlignment w:val="auto"/>
        <w:outlineLvl w:val="2"/>
        <w:rPr>
          <w:rFonts w:hint="eastAsia"/>
          <w:b w:val="0"/>
          <w:bCs/>
          <w:sz w:val="28"/>
          <w:szCs w:val="24"/>
          <w:highlight w:val="none"/>
          <w:lang w:val="en-US" w:eastAsia="zh-CN"/>
        </w:rPr>
      </w:pPr>
      <w:bookmarkStart w:id="26" w:name="_Toc21010"/>
      <w:r>
        <w:rPr>
          <w:rFonts w:hint="eastAsia"/>
          <w:b w:val="0"/>
          <w:bCs/>
          <w:sz w:val="28"/>
          <w:szCs w:val="24"/>
          <w:highlight w:val="none"/>
          <w:lang w:val="en-US" w:eastAsia="zh-CN"/>
        </w:rPr>
        <w:t>3.8 其它服务</w:t>
      </w:r>
      <w:bookmarkEnd w:id="26"/>
    </w:p>
    <w:tbl>
      <w:tblPr>
        <w:tblStyle w:val="21"/>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61"/>
        <w:gridCol w:w="5776"/>
      </w:tblGrid>
      <w:tr w14:paraId="0DCE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noWrap w:val="0"/>
            <w:vAlign w:val="center"/>
          </w:tcPr>
          <w:p w14:paraId="752D6351">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2084" w:type="dxa"/>
            <w:noWrap w:val="0"/>
            <w:vAlign w:val="center"/>
          </w:tcPr>
          <w:p w14:paraId="491519D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6139" w:type="dxa"/>
            <w:noWrap w:val="0"/>
            <w:vAlign w:val="center"/>
          </w:tcPr>
          <w:p w14:paraId="7C55F57F">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14:paraId="4944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7" w:type="dxa"/>
            <w:noWrap w:val="0"/>
            <w:vAlign w:val="center"/>
          </w:tcPr>
          <w:p w14:paraId="4EB91D6C">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2084" w:type="dxa"/>
            <w:noWrap w:val="0"/>
            <w:vAlign w:val="center"/>
          </w:tcPr>
          <w:p w14:paraId="55531F98">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eastAsia" w:ascii="Calibri" w:hAnsi="Calibri" w:eastAsia="宋体" w:cs="Calibri"/>
                <w:color w:val="auto"/>
                <w:kern w:val="2"/>
                <w:sz w:val="21"/>
                <w:szCs w:val="21"/>
                <w:highlight w:val="none"/>
                <w:u w:val="none"/>
                <w:lang w:val="en-US" w:eastAsia="zh-CN" w:bidi="ar-SA"/>
              </w:rPr>
              <w:t>辅助现场服务</w:t>
            </w:r>
          </w:p>
        </w:tc>
        <w:tc>
          <w:tcPr>
            <w:tcW w:w="6139" w:type="dxa"/>
            <w:noWrap w:val="0"/>
            <w:vAlign w:val="center"/>
          </w:tcPr>
          <w:p w14:paraId="6B66CAA5">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（1）主要配合做好以下工作：</w:t>
            </w:r>
          </w:p>
          <w:p w14:paraId="098AF2EC">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①配合做好监控区域内监控录像的刻录、存档工作。</w:t>
            </w:r>
          </w:p>
          <w:p w14:paraId="7E5C9F23">
            <w:pPr>
              <w:pageBreakBefore w:val="0"/>
              <w:widowControl/>
              <w:numPr>
                <w:ilvl w:val="0"/>
                <w:numId w:val="0"/>
              </w:numPr>
              <w:kinsoku/>
              <w:wordWrap/>
              <w:overflowPunct/>
              <w:topLinePunct w:val="0"/>
              <w:bidi w:val="0"/>
              <w:snapToGrid w:val="0"/>
              <w:spacing w:line="300" w:lineRule="auto"/>
              <w:ind w:leftChars="0"/>
              <w:rPr>
                <w:rFonts w:hint="default" w:cs="Calibri"/>
                <w:color w:val="auto"/>
                <w:szCs w:val="21"/>
                <w:highlight w:val="none"/>
                <w:u w:val="none"/>
                <w:lang w:val="en-US" w:eastAsia="zh-CN"/>
              </w:rPr>
            </w:pPr>
            <w:r>
              <w:rPr>
                <w:rFonts w:hint="eastAsia" w:cs="Calibri"/>
                <w:color w:val="auto"/>
                <w:szCs w:val="21"/>
                <w:highlight w:val="none"/>
                <w:u w:val="none"/>
                <w:lang w:val="en-US" w:eastAsia="zh-CN"/>
              </w:rPr>
              <w:t>②开评标结束后，检查并关闭空调、照明等设备电源。</w:t>
            </w:r>
          </w:p>
          <w:p w14:paraId="50668949">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③根据需要，配合业务科室维持交易区的正常秩序，加强交易场所内的禁烟等辅助性管理。</w:t>
            </w:r>
          </w:p>
          <w:p w14:paraId="6D4097FD">
            <w:pPr>
              <w:pageBreakBefore w:val="0"/>
              <w:widowControl/>
              <w:numPr>
                <w:ilvl w:val="0"/>
                <w:numId w:val="0"/>
              </w:numPr>
              <w:kinsoku/>
              <w:wordWrap/>
              <w:overflowPunct/>
              <w:topLinePunct w:val="0"/>
              <w:bidi w:val="0"/>
              <w:snapToGrid w:val="0"/>
              <w:spacing w:line="300" w:lineRule="auto"/>
              <w:ind w:leftChars="0"/>
              <w:rPr>
                <w:rFonts w:hint="eastAsia" w:cs="Calibri"/>
                <w:color w:val="auto"/>
                <w:szCs w:val="21"/>
                <w:highlight w:val="none"/>
                <w:u w:val="none"/>
                <w:lang w:val="en-US" w:eastAsia="zh-CN"/>
              </w:rPr>
            </w:pPr>
            <w:r>
              <w:rPr>
                <w:rFonts w:hint="eastAsia" w:cs="Calibri"/>
                <w:color w:val="auto"/>
                <w:szCs w:val="21"/>
                <w:highlight w:val="none"/>
                <w:u w:val="none"/>
                <w:lang w:val="en-US" w:eastAsia="zh-CN"/>
              </w:rPr>
              <w:t>④其他临时性工作任务（由市公共资源交易中心工程科统一安排）</w:t>
            </w:r>
          </w:p>
          <w:p w14:paraId="4B7724BE">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eastAsia" w:cs="Calibri"/>
                <w:color w:val="auto"/>
                <w:szCs w:val="21"/>
                <w:highlight w:val="none"/>
                <w:u w:val="none"/>
                <w:lang w:val="en-US" w:eastAsia="zh-CN"/>
              </w:rPr>
              <w:t>（2）有关要求：中标人委派人员做好开现场辅助服务工作，须遵守市公共资源交易中心各项规章制度和纪律要求，如人员不能胜任工作要求，应在一周之内予以更换。为满足现场辅助服务需要，中标人需统筹建立加班、调休等相关制度，保障劳动者权利。</w:t>
            </w:r>
          </w:p>
        </w:tc>
      </w:tr>
    </w:tbl>
    <w:p w14:paraId="49490A2B">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b/>
          <w:bCs/>
          <w:sz w:val="28"/>
          <w:szCs w:val="28"/>
          <w:lang w:val="en-US" w:eastAsia="zh-CN"/>
        </w:rPr>
      </w:pPr>
    </w:p>
    <w:p w14:paraId="22FF1498">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default"/>
          <w:b/>
          <w:bCs/>
          <w:sz w:val="28"/>
          <w:szCs w:val="28"/>
          <w:lang w:val="en-US" w:eastAsia="zh-CN"/>
        </w:rPr>
      </w:pPr>
      <w:bookmarkStart w:id="27" w:name="_Toc5070"/>
      <w:r>
        <w:rPr>
          <w:rFonts w:hint="eastAsia"/>
          <w:b/>
          <w:bCs/>
          <w:sz w:val="28"/>
          <w:szCs w:val="28"/>
          <w:lang w:val="en-US" w:eastAsia="zh-CN"/>
        </w:rPr>
        <w:t>物业服务人员需求</w:t>
      </w:r>
      <w:bookmarkEnd w:id="27"/>
    </w:p>
    <w:tbl>
      <w:tblPr>
        <w:tblStyle w:val="21"/>
        <w:tblpPr w:leftFromText="180" w:rightFromText="180" w:vertAnchor="text" w:horzAnchor="page" w:tblpX="1380" w:tblpY="320"/>
        <w:tblOverlap w:val="never"/>
        <w:tblW w:w="10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4111"/>
        <w:gridCol w:w="729"/>
        <w:gridCol w:w="3225"/>
      </w:tblGrid>
      <w:tr w14:paraId="0FB1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4" w:type="dxa"/>
            <w:noWrap w:val="0"/>
            <w:vAlign w:val="center"/>
          </w:tcPr>
          <w:p w14:paraId="758776C7">
            <w:pPr>
              <w:jc w:val="center"/>
              <w:rPr>
                <w:rFonts w:ascii="宋体" w:hAnsi="宋体" w:eastAsia="宋体"/>
                <w:sz w:val="21"/>
                <w:szCs w:val="21"/>
              </w:rPr>
            </w:pPr>
            <w:r>
              <w:rPr>
                <w:rFonts w:hint="eastAsia" w:ascii="宋体" w:hAnsi="宋体" w:eastAsia="宋体"/>
                <w:sz w:val="21"/>
                <w:szCs w:val="21"/>
              </w:rPr>
              <w:t>序</w:t>
            </w:r>
            <w:r>
              <w:rPr>
                <w:rFonts w:ascii="宋体" w:hAnsi="宋体" w:eastAsia="宋体"/>
                <w:sz w:val="21"/>
                <w:szCs w:val="21"/>
              </w:rPr>
              <w:t>号</w:t>
            </w:r>
          </w:p>
        </w:tc>
        <w:tc>
          <w:tcPr>
            <w:tcW w:w="1276" w:type="dxa"/>
            <w:noWrap w:val="0"/>
            <w:vAlign w:val="center"/>
          </w:tcPr>
          <w:p w14:paraId="10A01ED9">
            <w:pPr>
              <w:jc w:val="center"/>
              <w:rPr>
                <w:rFonts w:ascii="宋体" w:hAnsi="宋体" w:eastAsia="宋体"/>
                <w:sz w:val="21"/>
                <w:szCs w:val="21"/>
              </w:rPr>
            </w:pPr>
            <w:r>
              <w:rPr>
                <w:rFonts w:hint="eastAsia" w:ascii="宋体" w:hAnsi="宋体" w:eastAsia="宋体"/>
                <w:sz w:val="21"/>
                <w:szCs w:val="21"/>
              </w:rPr>
              <w:t>岗位</w:t>
            </w:r>
          </w:p>
        </w:tc>
        <w:tc>
          <w:tcPr>
            <w:tcW w:w="4111" w:type="dxa"/>
            <w:noWrap w:val="0"/>
            <w:vAlign w:val="center"/>
          </w:tcPr>
          <w:p w14:paraId="248B31D6">
            <w:pPr>
              <w:jc w:val="center"/>
              <w:rPr>
                <w:rFonts w:ascii="宋体" w:hAnsi="宋体" w:eastAsia="宋体"/>
                <w:sz w:val="21"/>
                <w:szCs w:val="21"/>
              </w:rPr>
            </w:pPr>
            <w:r>
              <w:rPr>
                <w:rFonts w:hint="eastAsia" w:ascii="宋体" w:hAnsi="宋体" w:eastAsia="宋体"/>
                <w:sz w:val="21"/>
                <w:szCs w:val="21"/>
              </w:rPr>
              <w:t>要</w:t>
            </w:r>
            <w:r>
              <w:rPr>
                <w:rFonts w:ascii="宋体" w:hAnsi="宋体" w:eastAsia="宋体"/>
                <w:sz w:val="21"/>
                <w:szCs w:val="21"/>
              </w:rPr>
              <w:t>求</w:t>
            </w:r>
          </w:p>
        </w:tc>
        <w:tc>
          <w:tcPr>
            <w:tcW w:w="729" w:type="dxa"/>
            <w:noWrap w:val="0"/>
            <w:vAlign w:val="center"/>
          </w:tcPr>
          <w:p w14:paraId="27CE0951">
            <w:pPr>
              <w:jc w:val="center"/>
              <w:rPr>
                <w:rFonts w:ascii="宋体" w:hAnsi="宋体" w:eastAsia="宋体"/>
                <w:sz w:val="21"/>
                <w:szCs w:val="21"/>
              </w:rPr>
            </w:pPr>
            <w:r>
              <w:rPr>
                <w:rFonts w:hint="eastAsia" w:ascii="宋体" w:hAnsi="宋体" w:eastAsia="宋体"/>
                <w:sz w:val="21"/>
                <w:szCs w:val="21"/>
              </w:rPr>
              <w:t>人</w:t>
            </w:r>
            <w:r>
              <w:rPr>
                <w:rFonts w:ascii="宋体" w:hAnsi="宋体" w:eastAsia="宋体"/>
                <w:sz w:val="21"/>
                <w:szCs w:val="21"/>
              </w:rPr>
              <w:t>数</w:t>
            </w:r>
          </w:p>
        </w:tc>
        <w:tc>
          <w:tcPr>
            <w:tcW w:w="3225" w:type="dxa"/>
            <w:noWrap w:val="0"/>
            <w:vAlign w:val="center"/>
          </w:tcPr>
          <w:p w14:paraId="402ABAB3">
            <w:pPr>
              <w:jc w:val="center"/>
              <w:rPr>
                <w:rFonts w:ascii="宋体" w:hAnsi="宋体" w:eastAsia="宋体"/>
                <w:sz w:val="21"/>
                <w:szCs w:val="21"/>
              </w:rPr>
            </w:pPr>
            <w:r>
              <w:rPr>
                <w:rFonts w:hint="eastAsia" w:ascii="宋体" w:hAnsi="宋体" w:eastAsia="宋体"/>
                <w:sz w:val="21"/>
                <w:szCs w:val="21"/>
              </w:rPr>
              <w:t>备</w:t>
            </w:r>
            <w:r>
              <w:rPr>
                <w:rFonts w:ascii="宋体" w:hAnsi="宋体" w:eastAsia="宋体"/>
                <w:sz w:val="21"/>
                <w:szCs w:val="21"/>
              </w:rPr>
              <w:t>注</w:t>
            </w:r>
          </w:p>
        </w:tc>
      </w:tr>
      <w:tr w14:paraId="2FDB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F29B191">
            <w:pPr>
              <w:jc w:val="center"/>
              <w:rPr>
                <w:rFonts w:ascii="宋体" w:hAnsi="宋体" w:eastAsia="宋体"/>
                <w:sz w:val="21"/>
                <w:szCs w:val="21"/>
              </w:rPr>
            </w:pPr>
            <w:r>
              <w:rPr>
                <w:rFonts w:hint="eastAsia" w:ascii="宋体" w:hAnsi="宋体" w:eastAsia="宋体"/>
                <w:sz w:val="21"/>
                <w:szCs w:val="21"/>
              </w:rPr>
              <w:t>1</w:t>
            </w:r>
          </w:p>
        </w:tc>
        <w:tc>
          <w:tcPr>
            <w:tcW w:w="1276" w:type="dxa"/>
            <w:noWrap w:val="0"/>
            <w:vAlign w:val="center"/>
          </w:tcPr>
          <w:p w14:paraId="57ACF57D">
            <w:pPr>
              <w:rPr>
                <w:rFonts w:ascii="宋体" w:hAnsi="宋体" w:eastAsia="宋体"/>
                <w:sz w:val="21"/>
                <w:szCs w:val="21"/>
              </w:rPr>
            </w:pPr>
            <w:r>
              <w:rPr>
                <w:rFonts w:hint="eastAsia" w:ascii="宋体" w:hAnsi="宋体" w:eastAsia="宋体"/>
                <w:sz w:val="21"/>
                <w:szCs w:val="21"/>
              </w:rPr>
              <w:t>项目</w:t>
            </w:r>
            <w:r>
              <w:rPr>
                <w:rFonts w:ascii="宋体" w:hAnsi="宋体" w:eastAsia="宋体"/>
                <w:sz w:val="21"/>
                <w:szCs w:val="21"/>
              </w:rPr>
              <w:t>负责人</w:t>
            </w:r>
          </w:p>
        </w:tc>
        <w:tc>
          <w:tcPr>
            <w:tcW w:w="4111" w:type="dxa"/>
            <w:noWrap w:val="0"/>
            <w:vAlign w:val="center"/>
          </w:tcPr>
          <w:p w14:paraId="5A79F71D">
            <w:pPr>
              <w:rPr>
                <w:rFonts w:ascii="宋体" w:hAnsi="宋体" w:eastAsia="宋体"/>
                <w:sz w:val="21"/>
                <w:szCs w:val="21"/>
              </w:rPr>
            </w:pPr>
            <w:r>
              <w:rPr>
                <w:rFonts w:hint="eastAsia" w:ascii="宋体" w:hAnsi="宋体" w:eastAsia="宋体"/>
                <w:sz w:val="21"/>
                <w:szCs w:val="21"/>
              </w:rPr>
              <w:t>年龄</w:t>
            </w:r>
            <w:r>
              <w:rPr>
                <w:rFonts w:ascii="宋体" w:hAnsi="宋体" w:eastAsia="宋体"/>
                <w:sz w:val="21"/>
                <w:szCs w:val="21"/>
              </w:rPr>
              <w:t>在</w:t>
            </w:r>
            <w:r>
              <w:rPr>
                <w:rFonts w:hint="eastAsia" w:ascii="宋体" w:hAnsi="宋体" w:eastAsia="宋体"/>
                <w:sz w:val="21"/>
                <w:szCs w:val="21"/>
                <w:lang w:val="en-US" w:eastAsia="zh-CN"/>
              </w:rPr>
              <w:t>60</w:t>
            </w:r>
            <w:r>
              <w:rPr>
                <w:rFonts w:hint="eastAsia" w:ascii="宋体" w:hAnsi="宋体" w:eastAsia="宋体"/>
                <w:sz w:val="21"/>
                <w:szCs w:val="21"/>
              </w:rPr>
              <w:t>周</w:t>
            </w:r>
            <w:r>
              <w:rPr>
                <w:rFonts w:ascii="宋体" w:hAnsi="宋体" w:eastAsia="宋体"/>
                <w:sz w:val="21"/>
                <w:szCs w:val="21"/>
              </w:rPr>
              <w:t>岁以下</w:t>
            </w:r>
            <w:r>
              <w:rPr>
                <w:rFonts w:hint="eastAsia" w:ascii="宋体" w:hAnsi="宋体" w:eastAsia="宋体"/>
                <w:sz w:val="21"/>
                <w:szCs w:val="21"/>
              </w:rPr>
              <w:t>，品</w:t>
            </w:r>
            <w:r>
              <w:rPr>
                <w:rFonts w:ascii="宋体" w:hAnsi="宋体" w:eastAsia="宋体"/>
                <w:sz w:val="21"/>
                <w:szCs w:val="21"/>
              </w:rPr>
              <w:t>行端正</w:t>
            </w:r>
            <w:r>
              <w:rPr>
                <w:rFonts w:hint="eastAsia" w:ascii="宋体" w:hAnsi="宋体" w:eastAsia="宋体"/>
                <w:sz w:val="21"/>
                <w:szCs w:val="21"/>
              </w:rPr>
              <w:t>、身</w:t>
            </w:r>
            <w:r>
              <w:rPr>
                <w:rFonts w:ascii="宋体" w:hAnsi="宋体" w:eastAsia="宋体"/>
                <w:sz w:val="21"/>
                <w:szCs w:val="21"/>
              </w:rPr>
              <w:t>体健康</w:t>
            </w:r>
            <w:r>
              <w:rPr>
                <w:rFonts w:hint="eastAsia" w:ascii="宋体" w:hAnsi="宋体" w:eastAsia="宋体"/>
                <w:sz w:val="21"/>
                <w:szCs w:val="21"/>
              </w:rPr>
              <w:t>，组织、协</w:t>
            </w:r>
            <w:r>
              <w:rPr>
                <w:rFonts w:ascii="宋体" w:hAnsi="宋体" w:eastAsia="宋体"/>
                <w:sz w:val="21"/>
                <w:szCs w:val="21"/>
              </w:rPr>
              <w:t>调能力强</w:t>
            </w:r>
            <w:r>
              <w:rPr>
                <w:rFonts w:hint="eastAsia" w:ascii="宋体" w:hAnsi="宋体" w:eastAsia="宋体"/>
                <w:sz w:val="21"/>
                <w:szCs w:val="21"/>
              </w:rPr>
              <w:t>，具</w:t>
            </w:r>
            <w:r>
              <w:rPr>
                <w:rFonts w:ascii="宋体" w:hAnsi="宋体" w:eastAsia="宋体"/>
                <w:sz w:val="21"/>
                <w:szCs w:val="21"/>
              </w:rPr>
              <w:t>有一定语言文字表达能力</w:t>
            </w:r>
            <w:r>
              <w:rPr>
                <w:rFonts w:hint="eastAsia" w:ascii="宋体" w:hAnsi="宋体" w:eastAsia="宋体"/>
                <w:sz w:val="21"/>
                <w:szCs w:val="21"/>
              </w:rPr>
              <w:t>，能</w:t>
            </w:r>
            <w:r>
              <w:rPr>
                <w:rFonts w:ascii="宋体" w:hAnsi="宋体" w:eastAsia="宋体"/>
                <w:sz w:val="21"/>
                <w:szCs w:val="21"/>
              </w:rPr>
              <w:t>够</w:t>
            </w:r>
            <w:r>
              <w:rPr>
                <w:rFonts w:hint="eastAsia" w:ascii="宋体" w:hAnsi="宋体" w:eastAsia="宋体"/>
                <w:sz w:val="21"/>
                <w:szCs w:val="21"/>
              </w:rPr>
              <w:t>独立</w:t>
            </w:r>
            <w:r>
              <w:rPr>
                <w:rFonts w:ascii="宋体" w:hAnsi="宋体" w:eastAsia="宋体"/>
                <w:sz w:val="21"/>
                <w:szCs w:val="21"/>
              </w:rPr>
              <w:t>或者</w:t>
            </w:r>
            <w:r>
              <w:rPr>
                <w:rFonts w:hint="eastAsia" w:ascii="宋体" w:hAnsi="宋体" w:eastAsia="宋体"/>
                <w:sz w:val="21"/>
                <w:szCs w:val="21"/>
              </w:rPr>
              <w:t>较</w:t>
            </w:r>
            <w:r>
              <w:rPr>
                <w:rFonts w:ascii="宋体" w:hAnsi="宋体" w:eastAsia="宋体"/>
                <w:sz w:val="21"/>
                <w:szCs w:val="21"/>
              </w:rPr>
              <w:t>好地</w:t>
            </w:r>
            <w:r>
              <w:rPr>
                <w:rFonts w:hint="eastAsia" w:ascii="宋体" w:hAnsi="宋体" w:eastAsia="宋体"/>
                <w:sz w:val="21"/>
                <w:szCs w:val="21"/>
              </w:rPr>
              <w:t>组织</w:t>
            </w:r>
            <w:r>
              <w:rPr>
                <w:rFonts w:ascii="宋体" w:hAnsi="宋体" w:eastAsia="宋体"/>
                <w:sz w:val="21"/>
                <w:szCs w:val="21"/>
              </w:rPr>
              <w:t>完成</w:t>
            </w:r>
            <w:r>
              <w:rPr>
                <w:rFonts w:hint="eastAsia" w:ascii="宋体" w:hAnsi="宋体" w:eastAsia="宋体"/>
                <w:sz w:val="21"/>
                <w:szCs w:val="21"/>
              </w:rPr>
              <w:t>制度</w:t>
            </w:r>
            <w:r>
              <w:rPr>
                <w:rFonts w:ascii="宋体" w:hAnsi="宋体" w:eastAsia="宋体"/>
                <w:sz w:val="21"/>
                <w:szCs w:val="21"/>
              </w:rPr>
              <w:t>设计</w:t>
            </w:r>
            <w:r>
              <w:rPr>
                <w:rFonts w:hint="eastAsia" w:ascii="宋体" w:hAnsi="宋体" w:eastAsia="宋体"/>
                <w:sz w:val="21"/>
                <w:szCs w:val="21"/>
              </w:rPr>
              <w:t>、</w:t>
            </w:r>
            <w:r>
              <w:rPr>
                <w:rFonts w:ascii="宋体" w:hAnsi="宋体" w:eastAsia="宋体"/>
                <w:sz w:val="21"/>
                <w:szCs w:val="21"/>
              </w:rPr>
              <w:t>计划</w:t>
            </w:r>
            <w:r>
              <w:rPr>
                <w:rFonts w:hint="eastAsia" w:ascii="宋体" w:hAnsi="宋体" w:eastAsia="宋体"/>
                <w:sz w:val="21"/>
                <w:szCs w:val="21"/>
              </w:rPr>
              <w:t>总结、报</w:t>
            </w:r>
            <w:r>
              <w:rPr>
                <w:rFonts w:ascii="宋体" w:hAnsi="宋体" w:eastAsia="宋体"/>
                <w:sz w:val="21"/>
                <w:szCs w:val="21"/>
              </w:rPr>
              <w:t>表</w:t>
            </w:r>
            <w:r>
              <w:rPr>
                <w:rFonts w:hint="eastAsia" w:ascii="宋体" w:hAnsi="宋体" w:eastAsia="宋体"/>
                <w:sz w:val="21"/>
                <w:szCs w:val="21"/>
              </w:rPr>
              <w:t>台</w:t>
            </w:r>
            <w:r>
              <w:rPr>
                <w:rFonts w:ascii="宋体" w:hAnsi="宋体" w:eastAsia="宋体"/>
                <w:sz w:val="21"/>
                <w:szCs w:val="21"/>
              </w:rPr>
              <w:t>帐</w:t>
            </w:r>
            <w:r>
              <w:rPr>
                <w:rFonts w:hint="eastAsia" w:ascii="宋体" w:hAnsi="宋体" w:eastAsia="宋体"/>
                <w:sz w:val="21"/>
                <w:szCs w:val="21"/>
              </w:rPr>
              <w:t>等相</w:t>
            </w:r>
            <w:r>
              <w:rPr>
                <w:rFonts w:ascii="宋体" w:hAnsi="宋体" w:eastAsia="宋体"/>
                <w:sz w:val="21"/>
                <w:szCs w:val="21"/>
              </w:rPr>
              <w:t>关工作</w:t>
            </w:r>
            <w:r>
              <w:rPr>
                <w:rFonts w:hint="eastAsia" w:ascii="宋体" w:hAnsi="宋体" w:eastAsia="宋体"/>
                <w:sz w:val="21"/>
                <w:szCs w:val="21"/>
              </w:rPr>
              <w:t>。</w:t>
            </w:r>
          </w:p>
        </w:tc>
        <w:tc>
          <w:tcPr>
            <w:tcW w:w="729" w:type="dxa"/>
            <w:noWrap w:val="0"/>
            <w:vAlign w:val="center"/>
          </w:tcPr>
          <w:p w14:paraId="3FC29AC4">
            <w:pPr>
              <w:jc w:val="center"/>
              <w:rPr>
                <w:rFonts w:ascii="宋体" w:hAnsi="宋体" w:eastAsia="宋体"/>
                <w:sz w:val="21"/>
                <w:szCs w:val="21"/>
              </w:rPr>
            </w:pPr>
            <w:r>
              <w:rPr>
                <w:rFonts w:hint="eastAsia" w:ascii="宋体" w:hAnsi="宋体" w:eastAsia="宋体"/>
                <w:sz w:val="21"/>
                <w:szCs w:val="21"/>
              </w:rPr>
              <w:t>1</w:t>
            </w:r>
          </w:p>
        </w:tc>
        <w:tc>
          <w:tcPr>
            <w:tcW w:w="3225" w:type="dxa"/>
            <w:noWrap w:val="0"/>
            <w:vAlign w:val="center"/>
          </w:tcPr>
          <w:p w14:paraId="1C36AF4C">
            <w:pPr>
              <w:rPr>
                <w:rFonts w:ascii="宋体" w:hAnsi="宋体" w:eastAsia="宋体"/>
                <w:sz w:val="21"/>
                <w:szCs w:val="21"/>
              </w:rPr>
            </w:pPr>
            <w:r>
              <w:rPr>
                <w:rFonts w:hint="eastAsia" w:ascii="宋体" w:hAnsi="宋体" w:eastAsia="宋体"/>
                <w:sz w:val="21"/>
                <w:szCs w:val="21"/>
              </w:rPr>
              <w:t>需</w:t>
            </w:r>
            <w:r>
              <w:rPr>
                <w:rFonts w:ascii="宋体" w:hAnsi="宋体" w:eastAsia="宋体"/>
                <w:sz w:val="21"/>
                <w:szCs w:val="21"/>
              </w:rPr>
              <w:t>驻点服务。</w:t>
            </w:r>
          </w:p>
        </w:tc>
      </w:tr>
      <w:tr w14:paraId="2064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E6F0D82">
            <w:pPr>
              <w:jc w:val="center"/>
              <w:rPr>
                <w:rFonts w:ascii="宋体" w:hAnsi="宋体" w:eastAsia="宋体"/>
                <w:sz w:val="21"/>
                <w:szCs w:val="21"/>
              </w:rPr>
            </w:pPr>
            <w:r>
              <w:rPr>
                <w:rFonts w:hint="eastAsia" w:ascii="宋体" w:hAnsi="宋体" w:eastAsia="宋体"/>
                <w:sz w:val="21"/>
                <w:szCs w:val="21"/>
              </w:rPr>
              <w:t>2</w:t>
            </w:r>
          </w:p>
        </w:tc>
        <w:tc>
          <w:tcPr>
            <w:tcW w:w="1276" w:type="dxa"/>
            <w:noWrap w:val="0"/>
            <w:vAlign w:val="center"/>
          </w:tcPr>
          <w:p w14:paraId="07F7D269">
            <w:pPr>
              <w:rPr>
                <w:rFonts w:ascii="宋体" w:hAnsi="宋体" w:eastAsia="宋体"/>
                <w:sz w:val="21"/>
                <w:szCs w:val="21"/>
              </w:rPr>
            </w:pPr>
            <w:r>
              <w:rPr>
                <w:rFonts w:hint="eastAsia" w:ascii="宋体" w:hAnsi="宋体" w:eastAsia="宋体"/>
                <w:sz w:val="21"/>
                <w:szCs w:val="21"/>
              </w:rPr>
              <w:t>保洁</w:t>
            </w:r>
            <w:r>
              <w:rPr>
                <w:rFonts w:ascii="宋体" w:hAnsi="宋体" w:eastAsia="宋体"/>
                <w:sz w:val="21"/>
                <w:szCs w:val="21"/>
              </w:rPr>
              <w:t>人员</w:t>
            </w:r>
          </w:p>
        </w:tc>
        <w:tc>
          <w:tcPr>
            <w:tcW w:w="4111" w:type="dxa"/>
            <w:noWrap w:val="0"/>
            <w:vAlign w:val="center"/>
          </w:tcPr>
          <w:p w14:paraId="417D83EA">
            <w:pPr>
              <w:rPr>
                <w:rFonts w:ascii="宋体" w:hAnsi="宋体" w:eastAsia="宋体"/>
                <w:sz w:val="21"/>
                <w:szCs w:val="21"/>
              </w:rPr>
            </w:pPr>
            <w:r>
              <w:rPr>
                <w:rFonts w:hint="eastAsia" w:ascii="宋体" w:hAnsi="宋体" w:eastAsia="宋体"/>
                <w:sz w:val="21"/>
                <w:szCs w:val="21"/>
              </w:rPr>
              <w:t>女性，年龄在</w:t>
            </w:r>
            <w:r>
              <w:rPr>
                <w:rFonts w:ascii="宋体" w:hAnsi="宋体" w:eastAsia="宋体"/>
                <w:sz w:val="21"/>
                <w:szCs w:val="21"/>
              </w:rPr>
              <w:t>55</w:t>
            </w:r>
            <w:r>
              <w:rPr>
                <w:rFonts w:hint="eastAsia" w:ascii="宋体" w:hAnsi="宋体" w:eastAsia="宋体"/>
                <w:sz w:val="21"/>
                <w:szCs w:val="21"/>
              </w:rPr>
              <w:t>周</w:t>
            </w:r>
            <w:r>
              <w:rPr>
                <w:rFonts w:ascii="宋体" w:hAnsi="宋体" w:eastAsia="宋体"/>
                <w:sz w:val="21"/>
                <w:szCs w:val="21"/>
              </w:rPr>
              <w:t>岁以下，品行端正，身体健康。</w:t>
            </w:r>
          </w:p>
        </w:tc>
        <w:tc>
          <w:tcPr>
            <w:tcW w:w="729" w:type="dxa"/>
            <w:noWrap w:val="0"/>
            <w:vAlign w:val="center"/>
          </w:tcPr>
          <w:p w14:paraId="717A4B95">
            <w:pPr>
              <w:jc w:val="center"/>
              <w:rPr>
                <w:rFonts w:hint="eastAsia" w:ascii="宋体" w:hAnsi="宋体" w:eastAsia="宋体"/>
                <w:sz w:val="21"/>
                <w:szCs w:val="21"/>
                <w:lang w:eastAsia="zh-CN"/>
              </w:rPr>
            </w:pPr>
            <w:r>
              <w:rPr>
                <w:rFonts w:hint="eastAsia" w:ascii="宋体" w:hAnsi="宋体"/>
                <w:sz w:val="21"/>
                <w:szCs w:val="21"/>
                <w:lang w:val="en-US" w:eastAsia="zh-CN"/>
              </w:rPr>
              <w:t>3</w:t>
            </w:r>
          </w:p>
        </w:tc>
        <w:tc>
          <w:tcPr>
            <w:tcW w:w="3225" w:type="dxa"/>
            <w:noWrap w:val="0"/>
            <w:vAlign w:val="center"/>
          </w:tcPr>
          <w:p w14:paraId="03300556">
            <w:pPr>
              <w:rPr>
                <w:rFonts w:hint="eastAsia" w:ascii="宋体" w:hAnsi="宋体" w:eastAsia="宋体"/>
                <w:sz w:val="21"/>
                <w:szCs w:val="21"/>
                <w:lang w:eastAsia="zh-CN"/>
              </w:rPr>
            </w:pPr>
            <w:r>
              <w:rPr>
                <w:rFonts w:hint="eastAsia" w:ascii="宋体" w:hAnsi="宋体" w:eastAsia="宋体"/>
                <w:sz w:val="21"/>
                <w:szCs w:val="21"/>
              </w:rPr>
              <w:t>需</w:t>
            </w:r>
            <w:r>
              <w:rPr>
                <w:rFonts w:ascii="宋体" w:hAnsi="宋体" w:eastAsia="宋体"/>
                <w:sz w:val="21"/>
                <w:szCs w:val="21"/>
              </w:rPr>
              <w:t>驻点服务</w:t>
            </w:r>
            <w:r>
              <w:rPr>
                <w:rFonts w:hint="eastAsia" w:ascii="宋体" w:hAnsi="宋体"/>
                <w:sz w:val="21"/>
                <w:szCs w:val="21"/>
                <w:lang w:eastAsia="zh-CN"/>
              </w:rPr>
              <w:t>。</w:t>
            </w:r>
          </w:p>
        </w:tc>
      </w:tr>
      <w:tr w14:paraId="4904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2A82C7F">
            <w:pPr>
              <w:jc w:val="center"/>
              <w:rPr>
                <w:rFonts w:ascii="宋体" w:hAnsi="宋体" w:eastAsia="宋体"/>
                <w:sz w:val="21"/>
                <w:szCs w:val="21"/>
              </w:rPr>
            </w:pPr>
            <w:r>
              <w:rPr>
                <w:rFonts w:hint="eastAsia" w:ascii="宋体" w:hAnsi="宋体" w:eastAsia="宋体"/>
                <w:sz w:val="21"/>
                <w:szCs w:val="21"/>
              </w:rPr>
              <w:t>3</w:t>
            </w:r>
          </w:p>
        </w:tc>
        <w:tc>
          <w:tcPr>
            <w:tcW w:w="1276" w:type="dxa"/>
            <w:noWrap w:val="0"/>
            <w:vAlign w:val="center"/>
          </w:tcPr>
          <w:p w14:paraId="63717DAB">
            <w:pPr>
              <w:rPr>
                <w:rFonts w:hint="eastAsia" w:ascii="宋体" w:hAnsi="宋体" w:eastAsia="宋体"/>
                <w:sz w:val="21"/>
                <w:szCs w:val="21"/>
                <w:lang w:eastAsia="zh-CN"/>
              </w:rPr>
            </w:pPr>
            <w:r>
              <w:rPr>
                <w:rFonts w:hint="eastAsia" w:ascii="宋体" w:hAnsi="宋体" w:eastAsia="宋体"/>
                <w:sz w:val="21"/>
                <w:szCs w:val="21"/>
                <w:lang w:val="en-US" w:eastAsia="zh-CN"/>
              </w:rPr>
              <w:t>保安</w:t>
            </w:r>
            <w:r>
              <w:rPr>
                <w:rFonts w:ascii="宋体" w:hAnsi="宋体" w:eastAsia="宋体"/>
                <w:sz w:val="21"/>
                <w:szCs w:val="21"/>
              </w:rPr>
              <w:t>人员</w:t>
            </w:r>
            <w:r>
              <w:rPr>
                <w:rFonts w:hint="eastAsia" w:ascii="宋体" w:hAnsi="宋体" w:eastAsia="宋体"/>
                <w:sz w:val="21"/>
                <w:szCs w:val="21"/>
                <w:lang w:eastAsia="zh-CN"/>
              </w:rPr>
              <w:t>（</w:t>
            </w:r>
            <w:r>
              <w:rPr>
                <w:rFonts w:hint="eastAsia" w:ascii="宋体" w:hAnsi="宋体" w:eastAsia="宋体"/>
                <w:sz w:val="21"/>
                <w:szCs w:val="21"/>
                <w:lang w:val="en-US" w:eastAsia="zh-CN"/>
              </w:rPr>
              <w:t>含停车场服务人员</w:t>
            </w:r>
            <w:r>
              <w:rPr>
                <w:rFonts w:hint="eastAsia" w:ascii="宋体" w:hAnsi="宋体" w:eastAsia="宋体"/>
                <w:sz w:val="21"/>
                <w:szCs w:val="21"/>
                <w:lang w:eastAsia="zh-CN"/>
              </w:rPr>
              <w:t>）</w:t>
            </w:r>
          </w:p>
        </w:tc>
        <w:tc>
          <w:tcPr>
            <w:tcW w:w="4111" w:type="dxa"/>
            <w:noWrap w:val="0"/>
            <w:vAlign w:val="center"/>
          </w:tcPr>
          <w:p w14:paraId="39207E3C">
            <w:pPr>
              <w:rPr>
                <w:rFonts w:hint="eastAsia" w:ascii="宋体" w:hAnsi="宋体" w:eastAsia="宋体"/>
                <w:sz w:val="21"/>
                <w:szCs w:val="21"/>
                <w:lang w:eastAsia="zh-CN"/>
              </w:rPr>
            </w:pPr>
            <w:r>
              <w:rPr>
                <w:rFonts w:hint="eastAsia" w:ascii="宋体" w:hAnsi="宋体" w:eastAsia="宋体"/>
                <w:sz w:val="21"/>
                <w:szCs w:val="21"/>
              </w:rPr>
              <w:t>男性，年龄在</w:t>
            </w:r>
            <w:r>
              <w:rPr>
                <w:rFonts w:hint="eastAsia" w:ascii="宋体" w:hAnsi="宋体" w:eastAsia="宋体"/>
                <w:sz w:val="21"/>
                <w:szCs w:val="21"/>
                <w:lang w:val="en-US" w:eastAsia="zh-CN"/>
              </w:rPr>
              <w:t>60</w:t>
            </w:r>
            <w:r>
              <w:rPr>
                <w:rFonts w:hint="eastAsia" w:ascii="宋体" w:hAnsi="宋体" w:eastAsia="宋体"/>
                <w:sz w:val="21"/>
                <w:szCs w:val="21"/>
              </w:rPr>
              <w:t>周</w:t>
            </w:r>
            <w:r>
              <w:rPr>
                <w:rFonts w:ascii="宋体" w:hAnsi="宋体" w:eastAsia="宋体"/>
                <w:sz w:val="21"/>
                <w:szCs w:val="21"/>
              </w:rPr>
              <w:t>岁以下</w:t>
            </w:r>
            <w:r>
              <w:rPr>
                <w:rFonts w:hint="eastAsia" w:ascii="宋体" w:hAnsi="宋体" w:eastAsia="宋体"/>
                <w:sz w:val="21"/>
                <w:szCs w:val="21"/>
                <w:lang w:eastAsia="zh-CN"/>
              </w:rPr>
              <w:t>，</w:t>
            </w:r>
            <w:r>
              <w:rPr>
                <w:rFonts w:ascii="宋体" w:hAnsi="宋体" w:eastAsia="宋体"/>
                <w:sz w:val="21"/>
                <w:szCs w:val="21"/>
              </w:rPr>
              <w:t>品行端正，身体健康</w:t>
            </w:r>
            <w:r>
              <w:rPr>
                <w:rFonts w:hint="eastAsia" w:ascii="宋体" w:hAnsi="宋体" w:eastAsia="宋体"/>
                <w:sz w:val="21"/>
                <w:szCs w:val="21"/>
                <w:lang w:eastAsia="zh-CN"/>
              </w:rPr>
              <w:t>。</w:t>
            </w:r>
          </w:p>
        </w:tc>
        <w:tc>
          <w:tcPr>
            <w:tcW w:w="729" w:type="dxa"/>
            <w:noWrap w:val="0"/>
            <w:vAlign w:val="center"/>
          </w:tcPr>
          <w:p w14:paraId="48F8D41A">
            <w:pPr>
              <w:jc w:val="center"/>
              <w:rPr>
                <w:rFonts w:hint="eastAsia" w:ascii="宋体" w:hAnsi="宋体" w:eastAsia="宋体"/>
                <w:sz w:val="21"/>
                <w:szCs w:val="21"/>
                <w:lang w:eastAsia="zh-CN"/>
              </w:rPr>
            </w:pPr>
            <w:r>
              <w:rPr>
                <w:rFonts w:hint="eastAsia" w:ascii="宋体" w:hAnsi="宋体"/>
                <w:sz w:val="21"/>
                <w:szCs w:val="21"/>
                <w:lang w:val="en-US" w:eastAsia="zh-CN"/>
              </w:rPr>
              <w:t>3</w:t>
            </w:r>
          </w:p>
        </w:tc>
        <w:tc>
          <w:tcPr>
            <w:tcW w:w="3225" w:type="dxa"/>
            <w:noWrap w:val="0"/>
            <w:vAlign w:val="center"/>
          </w:tcPr>
          <w:p w14:paraId="2C9174D4">
            <w:pPr>
              <w:rPr>
                <w:rFonts w:ascii="宋体" w:hAnsi="宋体" w:eastAsia="宋体"/>
                <w:sz w:val="21"/>
                <w:szCs w:val="21"/>
              </w:rPr>
            </w:pPr>
            <w:r>
              <w:rPr>
                <w:rFonts w:hint="eastAsia"/>
                <w:spacing w:val="-2"/>
                <w:sz w:val="21"/>
                <w:szCs w:val="21"/>
                <w:lang w:val="en-US" w:eastAsia="zh-CN"/>
              </w:rPr>
              <w:t>中标后人员须持证上岗，</w:t>
            </w:r>
            <w:r>
              <w:rPr>
                <w:spacing w:val="-2"/>
                <w:sz w:val="21"/>
                <w:szCs w:val="21"/>
              </w:rPr>
              <w:t>24小时轮岗</w:t>
            </w:r>
          </w:p>
        </w:tc>
      </w:tr>
      <w:tr w14:paraId="5A85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D374915">
            <w:pPr>
              <w:jc w:val="center"/>
              <w:rPr>
                <w:rFonts w:ascii="宋体" w:hAnsi="宋体" w:eastAsia="宋体"/>
                <w:sz w:val="21"/>
                <w:szCs w:val="21"/>
              </w:rPr>
            </w:pPr>
            <w:r>
              <w:rPr>
                <w:rFonts w:hint="eastAsia" w:ascii="宋体" w:hAnsi="宋体" w:eastAsia="宋体"/>
                <w:sz w:val="21"/>
                <w:szCs w:val="21"/>
              </w:rPr>
              <w:t>4</w:t>
            </w:r>
          </w:p>
        </w:tc>
        <w:tc>
          <w:tcPr>
            <w:tcW w:w="1276" w:type="dxa"/>
            <w:noWrap w:val="0"/>
            <w:vAlign w:val="center"/>
          </w:tcPr>
          <w:p w14:paraId="4E320100">
            <w:pPr>
              <w:rPr>
                <w:rFonts w:ascii="宋体" w:hAnsi="宋体" w:eastAsia="宋体"/>
                <w:sz w:val="21"/>
                <w:szCs w:val="21"/>
              </w:rPr>
            </w:pPr>
            <w:r>
              <w:rPr>
                <w:rFonts w:ascii="宋体" w:hAnsi="宋体" w:eastAsia="宋体"/>
                <w:sz w:val="21"/>
                <w:szCs w:val="21"/>
              </w:rPr>
              <w:t>场所</w:t>
            </w:r>
            <w:r>
              <w:rPr>
                <w:rFonts w:hint="eastAsia" w:ascii="宋体" w:hAnsi="宋体" w:eastAsia="宋体"/>
                <w:sz w:val="21"/>
                <w:szCs w:val="21"/>
              </w:rPr>
              <w:t>辅助服务</w:t>
            </w:r>
            <w:r>
              <w:rPr>
                <w:rFonts w:ascii="宋体" w:hAnsi="宋体" w:eastAsia="宋体"/>
                <w:sz w:val="21"/>
                <w:szCs w:val="21"/>
              </w:rPr>
              <w:t>人员</w:t>
            </w:r>
          </w:p>
        </w:tc>
        <w:tc>
          <w:tcPr>
            <w:tcW w:w="4111" w:type="dxa"/>
            <w:noWrap w:val="0"/>
            <w:vAlign w:val="center"/>
          </w:tcPr>
          <w:p w14:paraId="5406C5D9">
            <w:pPr>
              <w:rPr>
                <w:rFonts w:ascii="宋体" w:hAnsi="宋体" w:eastAsia="宋体"/>
                <w:sz w:val="21"/>
                <w:szCs w:val="21"/>
              </w:rPr>
            </w:pPr>
            <w:r>
              <w:rPr>
                <w:rFonts w:hint="eastAsia" w:ascii="宋体" w:hAnsi="宋体" w:eastAsia="宋体"/>
                <w:sz w:val="21"/>
                <w:szCs w:val="21"/>
              </w:rPr>
              <w:t>年</w:t>
            </w:r>
            <w:r>
              <w:rPr>
                <w:rFonts w:ascii="宋体" w:hAnsi="宋体" w:eastAsia="宋体"/>
                <w:sz w:val="21"/>
                <w:szCs w:val="21"/>
              </w:rPr>
              <w:t>龄在40</w:t>
            </w:r>
            <w:r>
              <w:rPr>
                <w:rFonts w:hint="eastAsia" w:ascii="宋体" w:hAnsi="宋体" w:eastAsia="宋体"/>
                <w:sz w:val="21"/>
                <w:szCs w:val="21"/>
              </w:rPr>
              <w:t>周</w:t>
            </w:r>
            <w:r>
              <w:rPr>
                <w:rFonts w:ascii="宋体" w:hAnsi="宋体" w:eastAsia="宋体"/>
                <w:sz w:val="21"/>
                <w:szCs w:val="21"/>
              </w:rPr>
              <w:t>岁以下</w:t>
            </w:r>
            <w:r>
              <w:rPr>
                <w:rFonts w:hint="eastAsia" w:ascii="宋体" w:hAnsi="宋体" w:eastAsia="宋体"/>
                <w:sz w:val="21"/>
                <w:szCs w:val="21"/>
              </w:rPr>
              <w:t>，</w:t>
            </w:r>
            <w:r>
              <w:rPr>
                <w:rFonts w:ascii="宋体" w:hAnsi="宋体" w:eastAsia="宋体"/>
                <w:sz w:val="21"/>
                <w:szCs w:val="21"/>
              </w:rPr>
              <w:t>品行端正，身体健康</w:t>
            </w:r>
            <w:r>
              <w:rPr>
                <w:rFonts w:hint="eastAsia" w:ascii="宋体" w:hAnsi="宋体" w:eastAsia="宋体"/>
                <w:sz w:val="21"/>
                <w:szCs w:val="21"/>
              </w:rPr>
              <w:t>，大</w:t>
            </w:r>
            <w:r>
              <w:rPr>
                <w:rFonts w:ascii="宋体" w:hAnsi="宋体" w:eastAsia="宋体"/>
                <w:sz w:val="21"/>
                <w:szCs w:val="21"/>
              </w:rPr>
              <w:t>专以上学历</w:t>
            </w:r>
            <w:r>
              <w:rPr>
                <w:rFonts w:hint="eastAsia" w:ascii="宋体" w:hAnsi="宋体" w:eastAsia="宋体"/>
                <w:sz w:val="21"/>
                <w:szCs w:val="21"/>
              </w:rPr>
              <w:t>，熟悉</w:t>
            </w:r>
            <w:r>
              <w:rPr>
                <w:rFonts w:ascii="宋体" w:hAnsi="宋体" w:eastAsia="宋体"/>
                <w:sz w:val="21"/>
                <w:szCs w:val="21"/>
              </w:rPr>
              <w:t>基本的信息化操作</w:t>
            </w:r>
            <w:r>
              <w:rPr>
                <w:rFonts w:hint="eastAsia" w:ascii="宋体" w:hAnsi="宋体" w:eastAsia="宋体"/>
                <w:sz w:val="21"/>
                <w:szCs w:val="21"/>
              </w:rPr>
              <w:t>和</w:t>
            </w:r>
            <w:r>
              <w:rPr>
                <w:rFonts w:ascii="宋体" w:hAnsi="宋体" w:eastAsia="宋体"/>
                <w:sz w:val="21"/>
                <w:szCs w:val="21"/>
              </w:rPr>
              <w:t>办公软件应用</w:t>
            </w:r>
            <w:r>
              <w:rPr>
                <w:rFonts w:hint="eastAsia" w:ascii="宋体" w:hAnsi="宋体" w:eastAsia="宋体"/>
                <w:sz w:val="21"/>
                <w:szCs w:val="21"/>
              </w:rPr>
              <w:t>，能</w:t>
            </w:r>
            <w:r>
              <w:rPr>
                <w:rFonts w:ascii="宋体" w:hAnsi="宋体" w:eastAsia="宋体"/>
                <w:sz w:val="21"/>
                <w:szCs w:val="21"/>
              </w:rPr>
              <w:t>适应与</w:t>
            </w:r>
            <w:r>
              <w:rPr>
                <w:rFonts w:hint="eastAsia" w:ascii="宋体" w:hAnsi="宋体" w:eastAsia="宋体"/>
                <w:sz w:val="21"/>
                <w:szCs w:val="21"/>
              </w:rPr>
              <w:t>业主</w:t>
            </w:r>
            <w:r>
              <w:rPr>
                <w:rFonts w:ascii="宋体" w:hAnsi="宋体" w:eastAsia="宋体"/>
                <w:sz w:val="21"/>
                <w:szCs w:val="21"/>
              </w:rPr>
              <w:t>工作人员共同</w:t>
            </w:r>
            <w:r>
              <w:rPr>
                <w:rFonts w:hint="eastAsia" w:ascii="宋体" w:hAnsi="宋体" w:eastAsia="宋体"/>
                <w:sz w:val="21"/>
                <w:szCs w:val="21"/>
              </w:rPr>
              <w:t>加</w:t>
            </w:r>
            <w:r>
              <w:rPr>
                <w:rFonts w:ascii="宋体" w:hAnsi="宋体" w:eastAsia="宋体"/>
                <w:sz w:val="21"/>
                <w:szCs w:val="21"/>
              </w:rPr>
              <w:t>班</w:t>
            </w:r>
            <w:r>
              <w:rPr>
                <w:rFonts w:hint="eastAsia" w:ascii="宋体" w:hAnsi="宋体" w:eastAsia="宋体"/>
                <w:sz w:val="21"/>
                <w:szCs w:val="21"/>
              </w:rPr>
              <w:t>的要</w:t>
            </w:r>
            <w:r>
              <w:rPr>
                <w:rFonts w:ascii="宋体" w:hAnsi="宋体" w:eastAsia="宋体"/>
                <w:sz w:val="21"/>
                <w:szCs w:val="21"/>
              </w:rPr>
              <w:t>求</w:t>
            </w:r>
            <w:r>
              <w:rPr>
                <w:rFonts w:hint="eastAsia" w:ascii="宋体" w:hAnsi="宋体" w:eastAsia="宋体"/>
                <w:sz w:val="21"/>
                <w:szCs w:val="21"/>
              </w:rPr>
              <w:t>。</w:t>
            </w:r>
          </w:p>
        </w:tc>
        <w:tc>
          <w:tcPr>
            <w:tcW w:w="729" w:type="dxa"/>
            <w:noWrap w:val="0"/>
            <w:vAlign w:val="center"/>
          </w:tcPr>
          <w:p w14:paraId="4BC84FBD">
            <w:pPr>
              <w:jc w:val="center"/>
              <w:rPr>
                <w:rFonts w:hint="eastAsia" w:ascii="宋体" w:hAnsi="宋体" w:eastAsia="宋体"/>
                <w:sz w:val="21"/>
                <w:szCs w:val="21"/>
                <w:lang w:eastAsia="zh-CN"/>
              </w:rPr>
            </w:pPr>
            <w:r>
              <w:rPr>
                <w:rFonts w:hint="eastAsia" w:ascii="宋体" w:hAnsi="宋体" w:eastAsia="宋体"/>
                <w:sz w:val="21"/>
                <w:szCs w:val="21"/>
                <w:lang w:val="en-US" w:eastAsia="zh-CN"/>
              </w:rPr>
              <w:t>1</w:t>
            </w:r>
          </w:p>
        </w:tc>
        <w:tc>
          <w:tcPr>
            <w:tcW w:w="3225" w:type="dxa"/>
            <w:noWrap w:val="0"/>
            <w:vAlign w:val="center"/>
          </w:tcPr>
          <w:p w14:paraId="167F06BB">
            <w:pPr>
              <w:rPr>
                <w:rFonts w:ascii="宋体" w:hAnsi="宋体" w:eastAsia="宋体"/>
                <w:sz w:val="21"/>
                <w:szCs w:val="21"/>
              </w:rPr>
            </w:pPr>
            <w:r>
              <w:rPr>
                <w:rFonts w:hint="eastAsia" w:ascii="宋体" w:hAnsi="宋体" w:eastAsia="宋体"/>
                <w:sz w:val="21"/>
                <w:szCs w:val="21"/>
              </w:rPr>
              <w:t>上</w:t>
            </w:r>
            <w:r>
              <w:rPr>
                <w:rFonts w:ascii="宋体" w:hAnsi="宋体" w:eastAsia="宋体"/>
                <w:sz w:val="21"/>
                <w:szCs w:val="21"/>
              </w:rPr>
              <w:t>岗人员需经</w:t>
            </w:r>
            <w:r>
              <w:rPr>
                <w:rFonts w:hint="eastAsia" w:ascii="宋体" w:hAnsi="宋体" w:eastAsia="宋体"/>
                <w:sz w:val="21"/>
                <w:szCs w:val="21"/>
              </w:rPr>
              <w:t>业主试</w:t>
            </w:r>
            <w:r>
              <w:rPr>
                <w:rFonts w:ascii="宋体" w:hAnsi="宋体" w:eastAsia="宋体"/>
                <w:sz w:val="21"/>
                <w:szCs w:val="21"/>
              </w:rPr>
              <w:t>用合格</w:t>
            </w:r>
            <w:r>
              <w:rPr>
                <w:rFonts w:hint="eastAsia" w:ascii="宋体" w:hAnsi="宋体" w:eastAsia="宋体"/>
                <w:sz w:val="21"/>
                <w:szCs w:val="21"/>
              </w:rPr>
              <w:t>后，</w:t>
            </w:r>
            <w:r>
              <w:rPr>
                <w:rFonts w:ascii="宋体" w:hAnsi="宋体" w:eastAsia="宋体"/>
                <w:sz w:val="21"/>
                <w:szCs w:val="21"/>
              </w:rPr>
              <w:t>方能</w:t>
            </w:r>
            <w:r>
              <w:rPr>
                <w:rFonts w:hint="eastAsia" w:ascii="宋体" w:hAnsi="宋体" w:eastAsia="宋体"/>
                <w:sz w:val="21"/>
                <w:szCs w:val="21"/>
              </w:rPr>
              <w:t>使用。需</w:t>
            </w:r>
            <w:r>
              <w:rPr>
                <w:rFonts w:ascii="宋体" w:hAnsi="宋体" w:eastAsia="宋体"/>
                <w:sz w:val="21"/>
                <w:szCs w:val="21"/>
              </w:rPr>
              <w:t>驻点服务。</w:t>
            </w:r>
          </w:p>
        </w:tc>
      </w:tr>
    </w:tbl>
    <w:p w14:paraId="5D611F2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使用中文字体)"/>
          <w:b w:val="0"/>
          <w:bCs w:val="0"/>
          <w:color w:val="auto"/>
          <w:sz w:val="21"/>
          <w:szCs w:val="21"/>
          <w:lang w:eastAsia="zh-CN"/>
        </w:rPr>
      </w:pPr>
      <w:r>
        <w:rPr>
          <w:rFonts w:hint="eastAsia" w:ascii="宋体" w:hAnsi="宋体" w:eastAsia="宋体" w:cs="(使用中文字体)"/>
          <w:b w:val="0"/>
          <w:bCs w:val="0"/>
          <w:color w:val="auto"/>
          <w:sz w:val="21"/>
          <w:szCs w:val="21"/>
          <w:lang w:val="en-US" w:eastAsia="zh-CN"/>
        </w:rPr>
        <w:t>投标人（供应商）</w:t>
      </w:r>
      <w:r>
        <w:rPr>
          <w:rFonts w:hint="eastAsia" w:ascii="宋体" w:hAnsi="宋体" w:eastAsia="宋体" w:cs="(使用中文字体)"/>
          <w:b w:val="0"/>
          <w:bCs w:val="0"/>
          <w:color w:val="auto"/>
          <w:sz w:val="21"/>
          <w:szCs w:val="21"/>
          <w:lang w:eastAsia="zh-CN"/>
        </w:rPr>
        <w:t>总报价不得低于政策性费用，政策性费用测算如下：</w:t>
      </w:r>
    </w:p>
    <w:tbl>
      <w:tblPr>
        <w:tblStyle w:val="20"/>
        <w:tblpPr w:leftFromText="180" w:rightFromText="180" w:vertAnchor="text" w:horzAnchor="page" w:tblpX="1375" w:tblpY="92"/>
        <w:tblOverlap w:val="neve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8"/>
        <w:gridCol w:w="2722"/>
        <w:gridCol w:w="1105"/>
        <w:gridCol w:w="1816"/>
        <w:gridCol w:w="1005"/>
        <w:gridCol w:w="2279"/>
      </w:tblGrid>
      <w:tr w14:paraId="5B59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031" w:type="dxa"/>
            <w:gridSpan w:val="4"/>
            <w:tcBorders>
              <w:top w:val="nil"/>
              <w:left w:val="nil"/>
              <w:bottom w:val="single" w:color="000000" w:sz="8" w:space="0"/>
              <w:right w:val="nil"/>
            </w:tcBorders>
            <w:noWrap/>
            <w:vAlign w:val="bottom"/>
          </w:tcPr>
          <w:p w14:paraId="7CCE90EE">
            <w:pPr>
              <w:keepNext w:val="0"/>
              <w:keepLines w:val="0"/>
              <w:widowControl/>
              <w:suppressLineNumbers w:val="0"/>
              <w:ind w:firstLine="420" w:firstLineChars="200"/>
              <w:jc w:val="left"/>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一般纳税人政策性费用测算：</w:t>
            </w:r>
          </w:p>
        </w:tc>
        <w:tc>
          <w:tcPr>
            <w:tcW w:w="3284" w:type="dxa"/>
            <w:gridSpan w:val="2"/>
            <w:tcBorders>
              <w:top w:val="nil"/>
              <w:left w:val="nil"/>
              <w:bottom w:val="single" w:color="000000" w:sz="8" w:space="0"/>
              <w:right w:val="nil"/>
            </w:tcBorders>
            <w:noWrap/>
            <w:vAlign w:val="bottom"/>
          </w:tcPr>
          <w:p w14:paraId="58B8C634">
            <w:pPr>
              <w:jc w:val="left"/>
              <w:rPr>
                <w:rFonts w:hint="eastAsia" w:ascii="宋体" w:hAnsi="宋体" w:eastAsia="宋体" w:cs="宋体"/>
                <w:b w:val="0"/>
                <w:bCs w:val="0"/>
                <w:i w:val="0"/>
                <w:iCs w:val="0"/>
                <w:color w:val="auto"/>
                <w:sz w:val="21"/>
                <w:szCs w:val="21"/>
                <w:u w:val="none"/>
              </w:rPr>
            </w:pPr>
          </w:p>
        </w:tc>
      </w:tr>
      <w:tr w14:paraId="28D9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88" w:type="dxa"/>
            <w:tcBorders>
              <w:top w:val="nil"/>
              <w:left w:val="single" w:color="000000" w:sz="8" w:space="0"/>
              <w:bottom w:val="nil"/>
              <w:right w:val="single" w:color="000000" w:sz="8" w:space="0"/>
            </w:tcBorders>
            <w:noWrap/>
            <w:vAlign w:val="center"/>
          </w:tcPr>
          <w:p w14:paraId="03992A3F">
            <w:pPr>
              <w:jc w:val="center"/>
              <w:rPr>
                <w:rFonts w:hint="eastAsia" w:ascii="宋体" w:hAnsi="宋体" w:eastAsia="宋体" w:cs="宋体"/>
                <w:b w:val="0"/>
                <w:bCs w:val="0"/>
                <w:i w:val="0"/>
                <w:iCs w:val="0"/>
                <w:color w:val="auto"/>
                <w:sz w:val="21"/>
                <w:szCs w:val="21"/>
                <w:u w:val="none"/>
              </w:rPr>
            </w:pPr>
          </w:p>
        </w:tc>
        <w:tc>
          <w:tcPr>
            <w:tcW w:w="2722" w:type="dxa"/>
            <w:tcBorders>
              <w:top w:val="nil"/>
              <w:left w:val="nil"/>
              <w:bottom w:val="nil"/>
              <w:right w:val="single" w:color="000000" w:sz="8" w:space="0"/>
            </w:tcBorders>
            <w:noWrap/>
            <w:vAlign w:val="center"/>
          </w:tcPr>
          <w:p w14:paraId="328BE97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缴费项目</w:t>
            </w:r>
          </w:p>
        </w:tc>
        <w:tc>
          <w:tcPr>
            <w:tcW w:w="1105" w:type="dxa"/>
            <w:tcBorders>
              <w:top w:val="nil"/>
              <w:left w:val="nil"/>
              <w:bottom w:val="nil"/>
              <w:right w:val="single" w:color="000000" w:sz="8" w:space="0"/>
            </w:tcBorders>
            <w:noWrap/>
            <w:vAlign w:val="center"/>
          </w:tcPr>
          <w:p w14:paraId="7E8CCC9B">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人数（人）</w:t>
            </w:r>
          </w:p>
        </w:tc>
        <w:tc>
          <w:tcPr>
            <w:tcW w:w="1816" w:type="dxa"/>
            <w:tcBorders>
              <w:top w:val="nil"/>
              <w:left w:val="nil"/>
              <w:bottom w:val="nil"/>
              <w:right w:val="single" w:color="000000" w:sz="8" w:space="0"/>
            </w:tcBorders>
            <w:noWrap/>
            <w:vAlign w:val="center"/>
          </w:tcPr>
          <w:p w14:paraId="7B94AC5D">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费用（元）</w:t>
            </w:r>
          </w:p>
        </w:tc>
        <w:tc>
          <w:tcPr>
            <w:tcW w:w="1005" w:type="dxa"/>
            <w:tcBorders>
              <w:top w:val="nil"/>
              <w:left w:val="nil"/>
              <w:bottom w:val="nil"/>
              <w:right w:val="single" w:color="000000" w:sz="8" w:space="0"/>
            </w:tcBorders>
            <w:noWrap/>
            <w:vAlign w:val="center"/>
          </w:tcPr>
          <w:p w14:paraId="798168C2">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月</w:t>
            </w:r>
          </w:p>
        </w:tc>
        <w:tc>
          <w:tcPr>
            <w:tcW w:w="2279" w:type="dxa"/>
            <w:tcBorders>
              <w:top w:val="nil"/>
              <w:left w:val="nil"/>
              <w:bottom w:val="nil"/>
              <w:right w:val="single" w:color="000000" w:sz="8" w:space="0"/>
            </w:tcBorders>
            <w:noWrap/>
            <w:vAlign w:val="center"/>
          </w:tcPr>
          <w:p w14:paraId="23833AA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小计（元）</w:t>
            </w:r>
          </w:p>
        </w:tc>
      </w:tr>
      <w:tr w14:paraId="4B7C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0FBE228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A</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43712A6A">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最低人员工资</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404936F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B495F41">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sz w:val="21"/>
                <w:szCs w:val="21"/>
                <w:u w:val="none"/>
                <w:lang w:val="en-US" w:eastAsia="zh-CN"/>
              </w:rPr>
              <w:t>2320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5D6BBEC">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3EBFCD6A">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222720</w:t>
            </w:r>
          </w:p>
        </w:tc>
      </w:tr>
      <w:tr w14:paraId="4BA4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5ED8086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B</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14128711">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社会保险</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3E2A548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F4EA0DD">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default" w:ascii="宋体" w:hAnsi="宋体" w:eastAsia="宋体" w:cs="宋体"/>
                <w:b w:val="0"/>
                <w:bCs w:val="0"/>
                <w:i w:val="0"/>
                <w:iCs w:val="0"/>
                <w:color w:val="auto"/>
                <w:sz w:val="21"/>
                <w:szCs w:val="21"/>
                <w:u w:val="none"/>
                <w:lang w:val="en-US" w:eastAsia="zh-CN"/>
              </w:rPr>
              <w:t>1036.72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AEDDB7B">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75F8BA25">
            <w:pPr>
              <w:keepNext w:val="0"/>
              <w:keepLines w:val="0"/>
              <w:widowControl/>
              <w:suppressLineNumbers w:val="0"/>
              <w:jc w:val="center"/>
              <w:textAlignment w:val="bottom"/>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99525.12</w:t>
            </w:r>
          </w:p>
        </w:tc>
      </w:tr>
      <w:tr w14:paraId="25E8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center"/>
          </w:tcPr>
          <w:p w14:paraId="71F16DE3">
            <w:pPr>
              <w:jc w:val="both"/>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小计（A+B）</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765D3754">
            <w:pPr>
              <w:keepNext w:val="0"/>
              <w:keepLines w:val="0"/>
              <w:widowControl/>
              <w:suppressLineNumbers w:val="0"/>
              <w:jc w:val="center"/>
              <w:textAlignment w:val="bottom"/>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322245.12</w:t>
            </w:r>
          </w:p>
        </w:tc>
      </w:tr>
      <w:tr w14:paraId="5BDC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136A62F8">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C</w:t>
            </w:r>
          </w:p>
        </w:tc>
        <w:tc>
          <w:tcPr>
            <w:tcW w:w="6648" w:type="dxa"/>
            <w:gridSpan w:val="4"/>
            <w:tcBorders>
              <w:top w:val="single" w:color="000000" w:sz="4" w:space="0"/>
              <w:left w:val="single" w:color="000000" w:sz="4" w:space="0"/>
              <w:bottom w:val="single" w:color="000000" w:sz="4" w:space="0"/>
              <w:right w:val="single" w:color="000000" w:sz="4" w:space="0"/>
            </w:tcBorders>
            <w:noWrap w:val="0"/>
            <w:vAlign w:val="center"/>
          </w:tcPr>
          <w:p w14:paraId="529F54C5">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一般纳税人税金=（A+B）*6.72%=(A+B)*0.0672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27BB989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21654.87</w:t>
            </w:r>
          </w:p>
        </w:tc>
      </w:tr>
      <w:tr w14:paraId="75AA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14:paraId="1E929C0D">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总计（A+B+C）保留到小数点后两位（按四舍五入原则）</w:t>
            </w:r>
          </w:p>
        </w:tc>
        <w:tc>
          <w:tcPr>
            <w:tcW w:w="2279" w:type="dxa"/>
            <w:tcBorders>
              <w:top w:val="single" w:color="000000" w:sz="4" w:space="0"/>
              <w:left w:val="single" w:color="000000" w:sz="4" w:space="0"/>
              <w:bottom w:val="single" w:color="000000" w:sz="4" w:space="0"/>
              <w:right w:val="single" w:color="000000" w:sz="4" w:space="0"/>
            </w:tcBorders>
            <w:noWrap/>
            <w:vAlign w:val="bottom"/>
          </w:tcPr>
          <w:p w14:paraId="22D1025B">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343899.99</w:t>
            </w:r>
          </w:p>
        </w:tc>
      </w:tr>
      <w:tr w14:paraId="49B0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31" w:type="dxa"/>
            <w:gridSpan w:val="4"/>
            <w:tcBorders>
              <w:top w:val="nil"/>
              <w:left w:val="nil"/>
              <w:bottom w:val="nil"/>
              <w:right w:val="nil"/>
            </w:tcBorders>
            <w:noWrap/>
            <w:vAlign w:val="bottom"/>
          </w:tcPr>
          <w:p w14:paraId="5979A07A">
            <w:pPr>
              <w:keepNext w:val="0"/>
              <w:keepLines w:val="0"/>
              <w:widowControl/>
              <w:suppressLineNumbers w:val="0"/>
              <w:jc w:val="left"/>
              <w:textAlignment w:val="bottom"/>
              <w:rPr>
                <w:rFonts w:hint="eastAsia" w:ascii="宋体" w:hAnsi="宋体" w:eastAsia="宋体" w:cs="宋体"/>
                <w:b w:val="0"/>
                <w:bCs w:val="0"/>
                <w:i w:val="0"/>
                <w:iCs w:val="0"/>
                <w:color w:val="auto"/>
                <w:kern w:val="0"/>
                <w:sz w:val="21"/>
                <w:szCs w:val="21"/>
                <w:u w:val="none"/>
                <w:lang w:val="en-US" w:eastAsia="zh-CN" w:bidi="ar"/>
              </w:rPr>
            </w:pPr>
          </w:p>
          <w:p w14:paraId="4C003F89">
            <w:pPr>
              <w:keepNext w:val="0"/>
              <w:keepLines w:val="0"/>
              <w:widowControl/>
              <w:suppressLineNumbers w:val="0"/>
              <w:ind w:firstLine="420" w:firstLineChars="200"/>
              <w:jc w:val="left"/>
              <w:textAlignment w:val="bottom"/>
              <w:rPr>
                <w:rFonts w:hint="eastAsia" w:ascii="宋体" w:hAnsi="宋体" w:eastAsia="宋体" w:cs="宋体"/>
                <w:b w:val="0"/>
                <w:bCs w:val="0"/>
                <w:i w:val="0"/>
                <w:iCs w:val="0"/>
                <w:color w:val="auto"/>
                <w:kern w:val="0"/>
                <w:sz w:val="21"/>
                <w:szCs w:val="21"/>
                <w:u w:val="none"/>
                <w:lang w:val="en-US" w:eastAsia="zh-CN" w:bidi="ar"/>
              </w:rPr>
            </w:pPr>
          </w:p>
          <w:p w14:paraId="1A5D8030">
            <w:pPr>
              <w:keepNext w:val="0"/>
              <w:keepLines w:val="0"/>
              <w:widowControl/>
              <w:suppressLineNumbers w:val="0"/>
              <w:ind w:firstLine="420" w:firstLineChars="200"/>
              <w:jc w:val="left"/>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小规模纳税人政策性费用测算：</w:t>
            </w:r>
          </w:p>
        </w:tc>
        <w:tc>
          <w:tcPr>
            <w:tcW w:w="1005" w:type="dxa"/>
            <w:tcBorders>
              <w:top w:val="nil"/>
              <w:left w:val="nil"/>
              <w:bottom w:val="nil"/>
              <w:right w:val="nil"/>
            </w:tcBorders>
            <w:noWrap/>
            <w:vAlign w:val="bottom"/>
          </w:tcPr>
          <w:p w14:paraId="6ABD063F">
            <w:pPr>
              <w:jc w:val="left"/>
              <w:rPr>
                <w:rFonts w:hint="eastAsia" w:ascii="宋体" w:hAnsi="宋体" w:eastAsia="宋体" w:cs="宋体"/>
                <w:b w:val="0"/>
                <w:bCs w:val="0"/>
                <w:i w:val="0"/>
                <w:iCs w:val="0"/>
                <w:color w:val="auto"/>
                <w:sz w:val="21"/>
                <w:szCs w:val="21"/>
                <w:u w:val="none"/>
              </w:rPr>
            </w:pPr>
          </w:p>
        </w:tc>
        <w:tc>
          <w:tcPr>
            <w:tcW w:w="2279" w:type="dxa"/>
            <w:tcBorders>
              <w:top w:val="nil"/>
              <w:left w:val="nil"/>
              <w:bottom w:val="nil"/>
              <w:right w:val="nil"/>
            </w:tcBorders>
            <w:noWrap/>
            <w:vAlign w:val="bottom"/>
          </w:tcPr>
          <w:p w14:paraId="5EF1EA25">
            <w:pPr>
              <w:jc w:val="left"/>
              <w:rPr>
                <w:rFonts w:hint="eastAsia" w:ascii="宋体" w:hAnsi="宋体" w:eastAsia="宋体" w:cs="宋体"/>
                <w:b w:val="0"/>
                <w:bCs w:val="0"/>
                <w:i w:val="0"/>
                <w:iCs w:val="0"/>
                <w:color w:val="auto"/>
                <w:sz w:val="21"/>
                <w:szCs w:val="21"/>
                <w:u w:val="none"/>
              </w:rPr>
            </w:pPr>
          </w:p>
        </w:tc>
      </w:tr>
      <w:tr w14:paraId="2582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88" w:type="dxa"/>
            <w:tcBorders>
              <w:top w:val="single" w:color="000000" w:sz="4" w:space="0"/>
              <w:left w:val="single" w:color="000000" w:sz="4" w:space="0"/>
              <w:bottom w:val="single" w:color="000000" w:sz="4" w:space="0"/>
              <w:right w:val="single" w:color="000000" w:sz="4" w:space="0"/>
            </w:tcBorders>
            <w:noWrap/>
            <w:vAlign w:val="center"/>
          </w:tcPr>
          <w:p w14:paraId="11E62E94">
            <w:pPr>
              <w:jc w:val="center"/>
              <w:rPr>
                <w:rFonts w:hint="eastAsia" w:ascii="宋体" w:hAnsi="宋体" w:eastAsia="宋体" w:cs="宋体"/>
                <w:b w:val="0"/>
                <w:bCs w:val="0"/>
                <w:i w:val="0"/>
                <w:iCs w:val="0"/>
                <w:color w:val="auto"/>
                <w:sz w:val="21"/>
                <w:szCs w:val="21"/>
                <w:u w:val="none"/>
              </w:rPr>
            </w:pP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182BFB56">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缴费项目</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3FEEFEC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人数（人）</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5F1C3B0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费用（元）</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1BD83F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月</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6CA6C341">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小计（元）</w:t>
            </w:r>
          </w:p>
        </w:tc>
      </w:tr>
      <w:tr w14:paraId="6D91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8" w:type="dxa"/>
            <w:tcBorders>
              <w:top w:val="single" w:color="000000" w:sz="4" w:space="0"/>
              <w:left w:val="single" w:color="000000" w:sz="4" w:space="0"/>
              <w:bottom w:val="single" w:color="000000" w:sz="4" w:space="0"/>
              <w:right w:val="single" w:color="000000" w:sz="4" w:space="0"/>
            </w:tcBorders>
            <w:noWrap/>
            <w:vAlign w:val="bottom"/>
          </w:tcPr>
          <w:p w14:paraId="127CD84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A</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0FEBF9BC">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最低人员工资</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0727A3E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05237F6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lang w:val="en-US" w:eastAsia="zh-CN"/>
              </w:rPr>
              <w:t>2320</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720223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7FA98266">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222720</w:t>
            </w:r>
          </w:p>
        </w:tc>
      </w:tr>
      <w:tr w14:paraId="5F56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8" w:type="dxa"/>
            <w:tcBorders>
              <w:top w:val="single" w:color="000000" w:sz="4" w:space="0"/>
              <w:left w:val="single" w:color="000000" w:sz="4" w:space="0"/>
              <w:bottom w:val="single" w:color="000000" w:sz="4" w:space="0"/>
              <w:right w:val="single" w:color="000000" w:sz="4" w:space="0"/>
            </w:tcBorders>
            <w:noWrap/>
            <w:vAlign w:val="bottom"/>
          </w:tcPr>
          <w:p w14:paraId="011AE694">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B</w:t>
            </w:r>
          </w:p>
        </w:tc>
        <w:tc>
          <w:tcPr>
            <w:tcW w:w="2722" w:type="dxa"/>
            <w:tcBorders>
              <w:top w:val="single" w:color="000000" w:sz="4" w:space="0"/>
              <w:left w:val="single" w:color="000000" w:sz="4" w:space="0"/>
              <w:bottom w:val="single" w:color="000000" w:sz="4" w:space="0"/>
              <w:right w:val="single" w:color="000000" w:sz="4" w:space="0"/>
            </w:tcBorders>
            <w:noWrap/>
            <w:vAlign w:val="center"/>
          </w:tcPr>
          <w:p w14:paraId="6A5EBB6F">
            <w:pPr>
              <w:keepNext w:val="0"/>
              <w:keepLines w:val="0"/>
              <w:widowControl/>
              <w:suppressLineNumbers w:val="0"/>
              <w:jc w:val="both"/>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社会保险</w:t>
            </w:r>
          </w:p>
        </w:tc>
        <w:tc>
          <w:tcPr>
            <w:tcW w:w="1105" w:type="dxa"/>
            <w:tcBorders>
              <w:top w:val="single" w:color="000000" w:sz="4" w:space="0"/>
              <w:left w:val="single" w:color="000000" w:sz="4" w:space="0"/>
              <w:bottom w:val="single" w:color="000000" w:sz="4" w:space="0"/>
              <w:right w:val="single" w:color="000000" w:sz="4" w:space="0"/>
            </w:tcBorders>
            <w:noWrap/>
            <w:vAlign w:val="center"/>
          </w:tcPr>
          <w:p w14:paraId="7D0350BB">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8</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D380F02">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default" w:ascii="宋体" w:hAnsi="宋体" w:eastAsia="宋体" w:cs="宋体"/>
                <w:b w:val="0"/>
                <w:bCs w:val="0"/>
                <w:i w:val="0"/>
                <w:iCs w:val="0"/>
                <w:color w:val="auto"/>
                <w:sz w:val="21"/>
                <w:szCs w:val="21"/>
                <w:u w:val="none"/>
                <w:lang w:val="en-US" w:eastAsia="zh-CN"/>
              </w:rPr>
              <w:t>1036.72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1143488">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12</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193AF7C4">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99525.12</w:t>
            </w:r>
          </w:p>
        </w:tc>
      </w:tr>
      <w:tr w14:paraId="4B54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14:paraId="444639D7">
            <w:pPr>
              <w:jc w:val="both"/>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小计（A+B）</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160D48AF">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rPr>
            </w:pPr>
            <w:r>
              <w:rPr>
                <w:rFonts w:hint="eastAsia" w:ascii="宋体" w:hAnsi="宋体" w:eastAsia="宋体" w:cs="宋体"/>
                <w:b w:val="0"/>
                <w:bCs w:val="0"/>
                <w:i w:val="0"/>
                <w:iCs w:val="0"/>
                <w:color w:val="auto"/>
                <w:kern w:val="0"/>
                <w:sz w:val="21"/>
                <w:szCs w:val="21"/>
                <w:u w:val="none"/>
                <w:lang w:val="en-US" w:eastAsia="zh-CN" w:bidi="ar"/>
              </w:rPr>
              <w:t>322245.12</w:t>
            </w:r>
          </w:p>
        </w:tc>
      </w:tr>
      <w:tr w14:paraId="49B3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8" w:type="dxa"/>
            <w:tcBorders>
              <w:top w:val="single" w:color="000000" w:sz="4" w:space="0"/>
              <w:left w:val="single" w:color="000000" w:sz="4" w:space="0"/>
              <w:bottom w:val="single" w:color="000000" w:sz="4" w:space="0"/>
              <w:right w:val="single" w:color="000000" w:sz="4" w:space="0"/>
            </w:tcBorders>
            <w:noWrap/>
            <w:vAlign w:val="bottom"/>
          </w:tcPr>
          <w:p w14:paraId="0DA7E6FD">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C</w:t>
            </w:r>
          </w:p>
        </w:tc>
        <w:tc>
          <w:tcPr>
            <w:tcW w:w="6648" w:type="dxa"/>
            <w:gridSpan w:val="4"/>
            <w:tcBorders>
              <w:top w:val="single" w:color="000000" w:sz="4" w:space="0"/>
              <w:left w:val="single" w:color="000000" w:sz="4" w:space="0"/>
              <w:bottom w:val="single" w:color="000000" w:sz="4" w:space="0"/>
              <w:right w:val="single" w:color="000000" w:sz="4" w:space="0"/>
            </w:tcBorders>
            <w:noWrap w:val="0"/>
            <w:vAlign w:val="center"/>
          </w:tcPr>
          <w:p w14:paraId="4B88E3F6">
            <w:pPr>
              <w:keepNext w:val="0"/>
              <w:keepLines w:val="0"/>
              <w:widowControl/>
              <w:suppressLineNumbers w:val="0"/>
              <w:jc w:val="both"/>
              <w:textAlignment w:val="bottom"/>
              <w:rPr>
                <w:rFonts w:eastAsia="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小规模纳税人税金=（A+B）*3.36%=(A+B)*0.0336</w:t>
            </w:r>
          </w:p>
        </w:tc>
        <w:tc>
          <w:tcPr>
            <w:tcW w:w="2279" w:type="dxa"/>
            <w:tcBorders>
              <w:top w:val="single" w:color="000000" w:sz="4" w:space="0"/>
              <w:left w:val="single" w:color="000000" w:sz="4" w:space="0"/>
              <w:bottom w:val="single" w:color="000000" w:sz="4" w:space="0"/>
              <w:right w:val="single" w:color="000000" w:sz="4" w:space="0"/>
            </w:tcBorders>
            <w:noWrap/>
            <w:vAlign w:val="center"/>
          </w:tcPr>
          <w:p w14:paraId="6507360A">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10827.436</w:t>
            </w:r>
          </w:p>
        </w:tc>
      </w:tr>
      <w:tr w14:paraId="5EEB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036" w:type="dxa"/>
            <w:gridSpan w:val="5"/>
            <w:tcBorders>
              <w:top w:val="single" w:color="000000" w:sz="4" w:space="0"/>
              <w:left w:val="single" w:color="000000" w:sz="4" w:space="0"/>
              <w:bottom w:val="single" w:color="000000" w:sz="4" w:space="0"/>
              <w:right w:val="single" w:color="000000" w:sz="4" w:space="0"/>
            </w:tcBorders>
            <w:noWrap/>
            <w:vAlign w:val="bottom"/>
          </w:tcPr>
          <w:p w14:paraId="12BAAAD8">
            <w:pPr>
              <w:keepNext w:val="0"/>
              <w:keepLines w:val="0"/>
              <w:widowControl/>
              <w:suppressLineNumbers w:val="0"/>
              <w:jc w:val="center"/>
              <w:textAlignment w:val="bottom"/>
              <w:rPr>
                <w:rFonts w:eastAsia="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总计（A+B+C）保留到小数点后两位（按四舍五入原则）</w:t>
            </w:r>
          </w:p>
        </w:tc>
        <w:tc>
          <w:tcPr>
            <w:tcW w:w="2279" w:type="dxa"/>
            <w:tcBorders>
              <w:top w:val="single" w:color="000000" w:sz="4" w:space="0"/>
              <w:left w:val="single" w:color="000000" w:sz="4" w:space="0"/>
              <w:bottom w:val="single" w:color="000000" w:sz="4" w:space="0"/>
              <w:right w:val="single" w:color="000000" w:sz="4" w:space="0"/>
            </w:tcBorders>
            <w:noWrap/>
            <w:vAlign w:val="bottom"/>
          </w:tcPr>
          <w:p w14:paraId="5E61ABC0">
            <w:pPr>
              <w:keepNext w:val="0"/>
              <w:keepLines w:val="0"/>
              <w:widowControl/>
              <w:suppressLineNumbers w:val="0"/>
              <w:jc w:val="center"/>
              <w:textAlignment w:val="bottom"/>
              <w:rPr>
                <w:rFonts w:hint="default"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i w:val="0"/>
                <w:iCs w:val="0"/>
                <w:color w:val="auto"/>
                <w:sz w:val="21"/>
                <w:szCs w:val="21"/>
                <w:u w:val="none"/>
                <w:lang w:val="en-US" w:eastAsia="zh-CN"/>
              </w:rPr>
              <w:t>333072.56</w:t>
            </w:r>
          </w:p>
        </w:tc>
      </w:tr>
    </w:tbl>
    <w:p w14:paraId="588D1275">
      <w:pPr>
        <w:rPr>
          <w:rFonts w:hint="eastAsia" w:ascii="宋体" w:hAnsi="宋体" w:eastAsia="宋体" w:cs="(使用中文字体)"/>
          <w:b w:val="0"/>
          <w:bCs w:val="0"/>
          <w:color w:val="auto"/>
          <w:sz w:val="21"/>
          <w:szCs w:val="21"/>
          <w:lang w:val="en-US" w:eastAsia="zh-CN"/>
        </w:rPr>
      </w:pPr>
    </w:p>
    <w:p w14:paraId="7907309D">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（1）人员工资不低于铜陵市市区最低工资标准（2320元/人/月），社会保险个人缴纳费用含在最低工资标准中。</w:t>
      </w:r>
    </w:p>
    <w:p w14:paraId="221431A3">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（2）社会保险缴费基数最低为4311元，计算缴费金额以每人每月为基数，重大疾病补助单位须缴纳6.39元/人/月。</w:t>
      </w:r>
    </w:p>
    <w:p w14:paraId="20E00BB5">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社会保险费用：其中单位缴纳部分（缴费费率：23.9%）组成为：养老保险 16%、医疗保险 7%、失业保险 0.5%、工伤保险 0.4%。</w:t>
      </w:r>
    </w:p>
    <w:p w14:paraId="1217C078">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3）一般纳税人税金费率6.72%；小规模纳税人税金费率3.36%；如投标人以小规模纳税人税金费率报价，投标文件中须提供税务部门出具的近半年内任意一个月的小规模纳税人证明材料（如：企业税种核定材料等），否则将导致投标无效。</w:t>
      </w:r>
    </w:p>
    <w:p w14:paraId="061060F9">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（4）请投标人自行核算以上政策性费用，如投标人对以上费用有疑问，请在本项目网上询问截止时间前提出。如无疑问，投标报价应不低于上述政策性费用价格，否则将导致投标无效。</w:t>
      </w:r>
    </w:p>
    <w:p w14:paraId="327C1252">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Calibri" w:hAnsi="Calibri" w:eastAsia="宋体" w:cs="Calibri"/>
          <w:b/>
          <w:bCs/>
          <w:color w:val="auto"/>
          <w:kern w:val="2"/>
          <w:sz w:val="21"/>
          <w:szCs w:val="32"/>
          <w:highlight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（5）政策性费用不接受赠送及优惠，其他相关项，作为可竞争费用，可由投标人自行报价。</w:t>
      </w:r>
    </w:p>
    <w:p w14:paraId="591612BC">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sz w:val="28"/>
          <w:szCs w:val="28"/>
          <w:lang w:val="en-US" w:eastAsia="zh-CN"/>
        </w:rPr>
      </w:pPr>
    </w:p>
    <w:p w14:paraId="3C24D91E">
      <w:pPr>
        <w:keepNext w:val="0"/>
        <w:keepLines w:val="0"/>
        <w:pageBreakBefore w:val="0"/>
        <w:widowControl w:val="0"/>
        <w:numPr>
          <w:ilvl w:val="0"/>
          <w:numId w:val="2"/>
        </w:numPr>
        <w:kinsoku/>
        <w:wordWrap/>
        <w:overflowPunct/>
        <w:topLinePunct w:val="0"/>
        <w:autoSpaceDE/>
        <w:autoSpaceDN/>
        <w:bidi w:val="0"/>
        <w:adjustRightInd/>
        <w:snapToGrid w:val="0"/>
        <w:ind w:firstLine="560" w:firstLineChars="200"/>
        <w:textAlignment w:val="auto"/>
        <w:outlineLvl w:val="1"/>
        <w:rPr>
          <w:rFonts w:hint="default"/>
          <w:b/>
          <w:bCs/>
          <w:sz w:val="28"/>
          <w:szCs w:val="28"/>
          <w:lang w:val="en-US" w:eastAsia="zh-CN"/>
        </w:rPr>
      </w:pPr>
      <w:bookmarkStart w:id="28" w:name="_Toc26481"/>
      <w:r>
        <w:rPr>
          <w:rFonts w:hint="eastAsia"/>
          <w:b/>
          <w:bCs/>
          <w:sz w:val="28"/>
          <w:szCs w:val="28"/>
          <w:lang w:val="en-US" w:eastAsia="zh-CN"/>
        </w:rPr>
        <w:t>商务要求</w:t>
      </w:r>
      <w:bookmarkEnd w:id="28"/>
    </w:p>
    <w:p w14:paraId="238FD6FA">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default" w:ascii="宋体" w:hAnsi="宋体" w:eastAsia="宋体" w:cs="宋体"/>
          <w:b w:val="0"/>
          <w:bCs w:val="0"/>
          <w:i w:val="0"/>
          <w:iCs w:val="0"/>
          <w:color w:val="auto"/>
          <w:kern w:val="0"/>
          <w:sz w:val="21"/>
          <w:szCs w:val="21"/>
          <w:u w:val="none"/>
          <w:lang w:val="en-US" w:eastAsia="zh-CN" w:bidi="ar"/>
        </w:rPr>
      </w:pPr>
      <w:bookmarkStart w:id="29" w:name="_Toc1198"/>
      <w:r>
        <w:rPr>
          <w:rFonts w:hint="eastAsia" w:ascii="宋体" w:hAnsi="宋体" w:eastAsia="宋体" w:cs="宋体"/>
          <w:b w:val="0"/>
          <w:bCs w:val="0"/>
          <w:i w:val="0"/>
          <w:iCs w:val="0"/>
          <w:color w:val="auto"/>
          <w:kern w:val="0"/>
          <w:sz w:val="21"/>
          <w:szCs w:val="21"/>
          <w:u w:val="none"/>
          <w:lang w:val="en-US" w:eastAsia="zh-CN" w:bidi="ar"/>
        </w:rPr>
        <w:t>5.1</w:t>
      </w:r>
      <w:r>
        <w:rPr>
          <w:rFonts w:hint="default" w:ascii="宋体" w:hAnsi="宋体" w:eastAsia="宋体" w:cs="宋体"/>
          <w:b w:val="0"/>
          <w:bCs w:val="0"/>
          <w:i w:val="0"/>
          <w:iCs w:val="0"/>
          <w:color w:val="auto"/>
          <w:kern w:val="0"/>
          <w:sz w:val="21"/>
          <w:szCs w:val="21"/>
          <w:u w:val="none"/>
          <w:lang w:val="en-US" w:eastAsia="zh-CN" w:bidi="ar"/>
        </w:rPr>
        <w:t>实施期限</w:t>
      </w:r>
      <w:bookmarkEnd w:id="29"/>
    </w:p>
    <w:p w14:paraId="2BAA10C7">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2026年7月1日至2027年6月30日</w:t>
      </w:r>
    </w:p>
    <w:p w14:paraId="4D9E30AC">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bookmarkStart w:id="30" w:name="_Toc31865"/>
      <w:r>
        <w:rPr>
          <w:rFonts w:hint="eastAsia" w:ascii="宋体" w:hAnsi="宋体" w:eastAsia="宋体" w:cs="宋体"/>
          <w:b w:val="0"/>
          <w:bCs w:val="0"/>
          <w:i w:val="0"/>
          <w:iCs w:val="0"/>
          <w:color w:val="auto"/>
          <w:kern w:val="0"/>
          <w:sz w:val="21"/>
          <w:szCs w:val="21"/>
          <w:u w:val="none"/>
          <w:lang w:val="en-US" w:eastAsia="zh-CN" w:bidi="ar"/>
        </w:rPr>
        <w:t>5.2付款方式</w:t>
      </w:r>
      <w:bookmarkEnd w:id="30"/>
    </w:p>
    <w:p w14:paraId="0F21AD7A">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每季度根据考核结果一次性支付当季度服务费</w:t>
      </w:r>
    </w:p>
    <w:p w14:paraId="170D0992">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bookmarkStart w:id="31" w:name="_Toc7879"/>
      <w:r>
        <w:rPr>
          <w:rFonts w:hint="eastAsia" w:ascii="宋体" w:hAnsi="宋体" w:eastAsia="宋体" w:cs="宋体"/>
          <w:b w:val="0"/>
          <w:bCs w:val="0"/>
          <w:i w:val="0"/>
          <w:iCs w:val="0"/>
          <w:color w:val="auto"/>
          <w:kern w:val="0"/>
          <w:sz w:val="21"/>
          <w:szCs w:val="21"/>
          <w:u w:val="none"/>
          <w:lang w:val="en-US" w:eastAsia="zh-CN" w:bidi="ar"/>
        </w:rPr>
        <w:t>5.3验收标准与要求</w:t>
      </w:r>
      <w:bookmarkEnd w:id="31"/>
    </w:p>
    <w:p w14:paraId="40657F91">
      <w:pPr>
        <w:keepNext/>
        <w:keepLines/>
        <w:pageBreakBefore w:val="0"/>
        <w:widowControl w:val="0"/>
        <w:kinsoku/>
        <w:wordWrap/>
        <w:overflowPunct/>
        <w:topLinePunct w:val="0"/>
        <w:autoSpaceDE/>
        <w:autoSpaceDN/>
        <w:bidi w:val="0"/>
        <w:adjustRightInd/>
        <w:snapToGrid w:val="0"/>
        <w:spacing w:line="300" w:lineRule="auto"/>
        <w:ind w:firstLine="420" w:firstLineChars="200"/>
        <w:jc w:val="both"/>
        <w:textAlignment w:val="auto"/>
        <w:outlineLvl w:val="9"/>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（详见服务考核实施细则）</w:t>
      </w:r>
    </w:p>
    <w:p w14:paraId="6A14951D">
      <w:pPr>
        <w:spacing w:line="560" w:lineRule="exact"/>
        <w:jc w:val="center"/>
        <w:rPr>
          <w:rFonts w:hint="eastAsia" w:cs="楷体_GB2312" w:asciiTheme="minorEastAsia" w:hAnsiTheme="minorEastAsia" w:eastAsiaTheme="minorEastAsia"/>
          <w:b/>
          <w:bCs/>
          <w:color w:val="000000"/>
          <w:sz w:val="28"/>
          <w:szCs w:val="28"/>
        </w:rPr>
      </w:pPr>
    </w:p>
    <w:p w14:paraId="7E3267CA">
      <w:pPr>
        <w:spacing w:line="560" w:lineRule="exact"/>
        <w:jc w:val="center"/>
        <w:rPr>
          <w:rFonts w:hint="eastAsia" w:cs="楷体_GB2312" w:asciiTheme="minorEastAsia" w:hAnsiTheme="minorEastAsia" w:eastAsiaTheme="minorEastAsia"/>
          <w:b/>
          <w:bCs/>
          <w:color w:val="000000"/>
          <w:sz w:val="28"/>
          <w:szCs w:val="28"/>
        </w:rPr>
      </w:pPr>
    </w:p>
    <w:p w14:paraId="5C42DCFF">
      <w:pPr>
        <w:spacing w:line="560" w:lineRule="exact"/>
        <w:jc w:val="center"/>
        <w:rPr>
          <w:rFonts w:hint="eastAsia" w:cs="楷体_GB2312" w:asciiTheme="minorEastAsia" w:hAnsiTheme="minorEastAsia" w:eastAsiaTheme="minorEastAsia"/>
          <w:b/>
          <w:bCs/>
          <w:color w:val="000000"/>
          <w:sz w:val="28"/>
          <w:szCs w:val="28"/>
        </w:rPr>
      </w:pPr>
    </w:p>
    <w:p w14:paraId="3F17E3A4">
      <w:pPr>
        <w:spacing w:line="560" w:lineRule="exact"/>
        <w:jc w:val="center"/>
        <w:rPr>
          <w:rFonts w:hint="eastAsia" w:cs="楷体_GB2312" w:asciiTheme="minorEastAsia" w:hAnsiTheme="minorEastAsia" w:eastAsiaTheme="minorEastAsia"/>
          <w:b/>
          <w:bCs/>
          <w:color w:val="000000"/>
          <w:sz w:val="28"/>
          <w:szCs w:val="28"/>
        </w:rPr>
      </w:pPr>
    </w:p>
    <w:p w14:paraId="20E0F5CD">
      <w:pPr>
        <w:spacing w:line="560" w:lineRule="exact"/>
        <w:jc w:val="both"/>
        <w:rPr>
          <w:rFonts w:hint="eastAsia" w:cs="楷体_GB2312" w:asciiTheme="minorEastAsia" w:hAnsiTheme="minorEastAsia" w:eastAsiaTheme="minorEastAsia"/>
          <w:b/>
          <w:bCs/>
          <w:color w:val="000000"/>
          <w:sz w:val="28"/>
          <w:szCs w:val="28"/>
        </w:rPr>
      </w:pPr>
    </w:p>
    <w:p w14:paraId="65439D10">
      <w:pPr>
        <w:spacing w:line="560" w:lineRule="exact"/>
        <w:jc w:val="center"/>
        <w:rPr>
          <w:rFonts w:cs="楷体_GB2312" w:asciiTheme="minorEastAsia" w:hAnsiTheme="minorEastAsia" w:eastAsiaTheme="minorEastAsia"/>
          <w:b/>
          <w:bCs/>
          <w:color w:val="000000"/>
          <w:sz w:val="28"/>
          <w:szCs w:val="28"/>
        </w:rPr>
      </w:pPr>
      <w:r>
        <w:rPr>
          <w:rFonts w:hint="eastAsia" w:cs="楷体_GB2312" w:asciiTheme="minorEastAsia" w:hAnsiTheme="minorEastAsia" w:eastAsiaTheme="minorEastAsia"/>
          <w:b/>
          <w:bCs/>
          <w:color w:val="000000"/>
          <w:sz w:val="28"/>
          <w:szCs w:val="28"/>
        </w:rPr>
        <w:t>物业服务考核实施细则</w:t>
      </w:r>
    </w:p>
    <w:p w14:paraId="1B032922">
      <w:pPr>
        <w:spacing w:line="560" w:lineRule="exact"/>
        <w:jc w:val="center"/>
        <w:rPr>
          <w:rFonts w:cs="楷体_GB2312" w:asciiTheme="minorEastAsia" w:hAnsiTheme="minorEastAsia" w:eastAsiaTheme="minorEastAsia"/>
          <w:b/>
          <w:bCs/>
          <w:color w:val="000000"/>
        </w:rPr>
      </w:pPr>
    </w:p>
    <w:tbl>
      <w:tblPr>
        <w:tblStyle w:val="20"/>
        <w:tblW w:w="9141"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400"/>
        <w:gridCol w:w="714"/>
        <w:gridCol w:w="2869"/>
        <w:gridCol w:w="658"/>
      </w:tblGrid>
      <w:tr w14:paraId="334E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0" w:type="dxa"/>
            <w:shd w:val="clear" w:color="auto" w:fill="auto"/>
            <w:vAlign w:val="center"/>
          </w:tcPr>
          <w:p w14:paraId="3D7C41C8">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序号</w:t>
            </w:r>
          </w:p>
        </w:tc>
        <w:tc>
          <w:tcPr>
            <w:tcW w:w="4400" w:type="dxa"/>
            <w:shd w:val="clear" w:color="auto" w:fill="auto"/>
            <w:vAlign w:val="center"/>
          </w:tcPr>
          <w:p w14:paraId="02AB4006">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标   准   内   容</w:t>
            </w:r>
          </w:p>
        </w:tc>
        <w:tc>
          <w:tcPr>
            <w:tcW w:w="714" w:type="dxa"/>
            <w:shd w:val="clear" w:color="auto" w:fill="auto"/>
            <w:vAlign w:val="center"/>
          </w:tcPr>
          <w:p w14:paraId="050ED605">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分值</w:t>
            </w:r>
          </w:p>
        </w:tc>
        <w:tc>
          <w:tcPr>
            <w:tcW w:w="2869" w:type="dxa"/>
            <w:shd w:val="clear" w:color="auto" w:fill="auto"/>
            <w:vAlign w:val="center"/>
          </w:tcPr>
          <w:p w14:paraId="00AAAAC0">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评  分  细  则</w:t>
            </w:r>
          </w:p>
        </w:tc>
        <w:tc>
          <w:tcPr>
            <w:tcW w:w="658" w:type="dxa"/>
            <w:shd w:val="clear" w:color="auto" w:fill="auto"/>
            <w:vAlign w:val="center"/>
          </w:tcPr>
          <w:p w14:paraId="4528B6CE">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考评</w:t>
            </w:r>
          </w:p>
          <w:p w14:paraId="36288957">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分值</w:t>
            </w:r>
          </w:p>
        </w:tc>
      </w:tr>
      <w:tr w14:paraId="4058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 w:type="dxa"/>
            <w:shd w:val="clear" w:color="auto" w:fill="auto"/>
            <w:vAlign w:val="center"/>
          </w:tcPr>
          <w:p w14:paraId="1AD1956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w:t>
            </w:r>
          </w:p>
        </w:tc>
        <w:tc>
          <w:tcPr>
            <w:tcW w:w="4400" w:type="dxa"/>
            <w:shd w:val="clear" w:color="auto" w:fill="auto"/>
            <w:vAlign w:val="center"/>
          </w:tcPr>
          <w:p w14:paraId="401A2568">
            <w:pPr>
              <w:rPr>
                <w:rFonts w:asciiTheme="minorEastAsia" w:hAnsiTheme="minorEastAsia" w:eastAsiaTheme="minorEastAsia"/>
                <w:sz w:val="21"/>
                <w:szCs w:val="21"/>
              </w:rPr>
            </w:pPr>
            <w:r>
              <w:rPr>
                <w:rFonts w:hint="eastAsia" w:asciiTheme="minorEastAsia" w:hAnsiTheme="minorEastAsia" w:eastAsiaTheme="minorEastAsia"/>
                <w:sz w:val="21"/>
                <w:szCs w:val="21"/>
              </w:rPr>
              <w:t>基础管理</w:t>
            </w:r>
          </w:p>
        </w:tc>
        <w:tc>
          <w:tcPr>
            <w:tcW w:w="714" w:type="dxa"/>
            <w:shd w:val="clear" w:color="auto" w:fill="auto"/>
            <w:vAlign w:val="center"/>
          </w:tcPr>
          <w:p w14:paraId="6739FB93">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0</w:t>
            </w:r>
            <w:r>
              <w:rPr>
                <w:rFonts w:hint="eastAsia" w:asciiTheme="minorEastAsia" w:hAnsiTheme="minorEastAsia" w:eastAsiaTheme="minorEastAsia"/>
                <w:sz w:val="21"/>
                <w:szCs w:val="21"/>
              </w:rPr>
              <w:t>分</w:t>
            </w:r>
          </w:p>
        </w:tc>
        <w:tc>
          <w:tcPr>
            <w:tcW w:w="2869" w:type="dxa"/>
            <w:shd w:val="clear" w:color="auto" w:fill="auto"/>
            <w:vAlign w:val="center"/>
          </w:tcPr>
          <w:p w14:paraId="68CD149E">
            <w:pPr>
              <w:rPr>
                <w:rFonts w:asciiTheme="minorEastAsia" w:hAnsiTheme="minorEastAsia" w:eastAsiaTheme="minorEastAsia"/>
                <w:sz w:val="21"/>
                <w:szCs w:val="21"/>
              </w:rPr>
            </w:pPr>
          </w:p>
        </w:tc>
        <w:tc>
          <w:tcPr>
            <w:tcW w:w="658" w:type="dxa"/>
            <w:shd w:val="clear" w:color="auto" w:fill="auto"/>
            <w:vAlign w:val="center"/>
          </w:tcPr>
          <w:p w14:paraId="3613F7D4">
            <w:pPr>
              <w:jc w:val="center"/>
              <w:rPr>
                <w:rFonts w:asciiTheme="minorEastAsia" w:hAnsiTheme="minorEastAsia" w:eastAsiaTheme="minorEastAsia"/>
                <w:sz w:val="21"/>
                <w:szCs w:val="21"/>
              </w:rPr>
            </w:pPr>
          </w:p>
        </w:tc>
      </w:tr>
      <w:tr w14:paraId="2FC3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00" w:type="dxa"/>
            <w:vMerge w:val="restart"/>
            <w:shd w:val="clear" w:color="auto" w:fill="auto"/>
            <w:vAlign w:val="center"/>
          </w:tcPr>
          <w:p w14:paraId="375F0B25">
            <w:pPr>
              <w:jc w:val="center"/>
              <w:rPr>
                <w:rFonts w:asciiTheme="minorEastAsia" w:hAnsiTheme="minorEastAsia" w:eastAsiaTheme="minorEastAsia"/>
                <w:sz w:val="21"/>
                <w:szCs w:val="21"/>
              </w:rPr>
            </w:pPr>
          </w:p>
        </w:tc>
        <w:tc>
          <w:tcPr>
            <w:tcW w:w="4400" w:type="dxa"/>
            <w:shd w:val="clear" w:color="auto" w:fill="auto"/>
            <w:vAlign w:val="center"/>
          </w:tcPr>
          <w:p w14:paraId="3AE18648">
            <w:pPr>
              <w:rPr>
                <w:rFonts w:asciiTheme="minorEastAsia" w:hAnsiTheme="minorEastAsia" w:eastAsiaTheme="minorEastAsia"/>
                <w:sz w:val="21"/>
                <w:szCs w:val="21"/>
              </w:rPr>
            </w:pPr>
            <w:r>
              <w:rPr>
                <w:rFonts w:hint="eastAsia" w:asciiTheme="minorEastAsia" w:hAnsiTheme="minorEastAsia" w:eastAsiaTheme="minorEastAsia"/>
                <w:sz w:val="21"/>
                <w:szCs w:val="21"/>
              </w:rPr>
              <w:t>1、物业及其配套设施设备档案齐全、分类成册、管理完善。</w:t>
            </w:r>
          </w:p>
        </w:tc>
        <w:tc>
          <w:tcPr>
            <w:tcW w:w="714" w:type="dxa"/>
            <w:shd w:val="clear" w:color="auto" w:fill="auto"/>
            <w:vAlign w:val="center"/>
          </w:tcPr>
          <w:p w14:paraId="43ED2DD4">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shd w:val="clear" w:color="auto" w:fill="auto"/>
            <w:vAlign w:val="center"/>
          </w:tcPr>
          <w:p w14:paraId="139DD032">
            <w:pPr>
              <w:rPr>
                <w:rFonts w:asciiTheme="minorEastAsia" w:hAnsiTheme="minorEastAsia" w:eastAsiaTheme="minorEastAsia"/>
                <w:sz w:val="21"/>
                <w:szCs w:val="21"/>
              </w:rPr>
            </w:pPr>
            <w:r>
              <w:rPr>
                <w:rFonts w:hint="eastAsia" w:asciiTheme="minorEastAsia" w:hAnsiTheme="minorEastAsia" w:eastAsiaTheme="minorEastAsia"/>
                <w:sz w:val="21"/>
                <w:szCs w:val="21"/>
              </w:rPr>
              <w:t>完全符合</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分，基本符合1分，不符合0分</w:t>
            </w:r>
          </w:p>
        </w:tc>
        <w:tc>
          <w:tcPr>
            <w:tcW w:w="658" w:type="dxa"/>
            <w:shd w:val="clear" w:color="auto" w:fill="auto"/>
            <w:vAlign w:val="center"/>
          </w:tcPr>
          <w:p w14:paraId="01D7FDDF">
            <w:pPr>
              <w:jc w:val="center"/>
              <w:rPr>
                <w:rFonts w:asciiTheme="minorEastAsia" w:hAnsiTheme="minorEastAsia" w:eastAsiaTheme="minorEastAsia"/>
                <w:sz w:val="21"/>
                <w:szCs w:val="21"/>
              </w:rPr>
            </w:pPr>
          </w:p>
        </w:tc>
      </w:tr>
      <w:tr w14:paraId="1AD0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500" w:type="dxa"/>
            <w:vMerge w:val="continue"/>
            <w:shd w:val="clear" w:color="auto" w:fill="auto"/>
            <w:vAlign w:val="center"/>
          </w:tcPr>
          <w:p w14:paraId="356833C7">
            <w:pPr>
              <w:jc w:val="center"/>
              <w:rPr>
                <w:rFonts w:asciiTheme="minorEastAsia" w:hAnsiTheme="minorEastAsia" w:eastAsiaTheme="minorEastAsia"/>
                <w:sz w:val="21"/>
                <w:szCs w:val="21"/>
              </w:rPr>
            </w:pPr>
          </w:p>
        </w:tc>
        <w:tc>
          <w:tcPr>
            <w:tcW w:w="4400" w:type="dxa"/>
            <w:shd w:val="clear" w:color="auto" w:fill="auto"/>
            <w:vAlign w:val="center"/>
          </w:tcPr>
          <w:p w14:paraId="630F27A9">
            <w:pPr>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管理、服务人员身体健康、着装分类统一，工作规范、作风严谨</w:t>
            </w:r>
            <w:r>
              <w:rPr>
                <w:rFonts w:hint="eastAsia" w:asciiTheme="minorEastAsia" w:hAnsiTheme="minorEastAsia" w:eastAsiaTheme="minorEastAsia"/>
                <w:sz w:val="21"/>
                <w:szCs w:val="21"/>
              </w:rPr>
              <w:t>。</w:t>
            </w:r>
          </w:p>
        </w:tc>
        <w:tc>
          <w:tcPr>
            <w:tcW w:w="714" w:type="dxa"/>
            <w:shd w:val="clear" w:color="auto" w:fill="auto"/>
            <w:vAlign w:val="center"/>
          </w:tcPr>
          <w:p w14:paraId="2564CA89">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shd w:val="clear" w:color="auto" w:fill="auto"/>
            <w:vAlign w:val="center"/>
          </w:tcPr>
          <w:p w14:paraId="0D8760E3">
            <w:pPr>
              <w:rPr>
                <w:rFonts w:asciiTheme="minorEastAsia" w:hAnsiTheme="minorEastAsia" w:eastAsiaTheme="minorEastAsia"/>
                <w:sz w:val="21"/>
                <w:szCs w:val="21"/>
              </w:rPr>
            </w:pPr>
            <w:r>
              <w:rPr>
                <w:rFonts w:hint="eastAsia" w:asciiTheme="minorEastAsia" w:hAnsiTheme="minorEastAsia" w:eastAsiaTheme="minorEastAsia"/>
                <w:sz w:val="21"/>
                <w:szCs w:val="21"/>
              </w:rPr>
              <w:t>完全符合</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分，基本符合1分，不符合0分</w:t>
            </w:r>
          </w:p>
        </w:tc>
        <w:tc>
          <w:tcPr>
            <w:tcW w:w="658" w:type="dxa"/>
            <w:shd w:val="clear" w:color="auto" w:fill="auto"/>
            <w:vAlign w:val="center"/>
          </w:tcPr>
          <w:p w14:paraId="2FFAF30F">
            <w:pPr>
              <w:jc w:val="center"/>
              <w:rPr>
                <w:rFonts w:asciiTheme="minorEastAsia" w:hAnsiTheme="minorEastAsia" w:eastAsiaTheme="minorEastAsia"/>
                <w:sz w:val="21"/>
                <w:szCs w:val="21"/>
              </w:rPr>
            </w:pPr>
          </w:p>
        </w:tc>
      </w:tr>
      <w:tr w14:paraId="6492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500" w:type="dxa"/>
            <w:vMerge w:val="continue"/>
            <w:shd w:val="clear" w:color="auto" w:fill="auto"/>
            <w:vAlign w:val="center"/>
          </w:tcPr>
          <w:p w14:paraId="3CA0A733">
            <w:pPr>
              <w:jc w:val="center"/>
              <w:rPr>
                <w:rFonts w:asciiTheme="minorEastAsia" w:hAnsiTheme="minorEastAsia" w:eastAsiaTheme="minorEastAsia"/>
                <w:sz w:val="21"/>
                <w:szCs w:val="21"/>
              </w:rPr>
            </w:pPr>
          </w:p>
        </w:tc>
        <w:tc>
          <w:tcPr>
            <w:tcW w:w="4400" w:type="dxa"/>
            <w:shd w:val="clear" w:color="auto" w:fill="auto"/>
            <w:vAlign w:val="center"/>
          </w:tcPr>
          <w:p w14:paraId="0261A9C7">
            <w:pPr>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、建立健全各项管理制度，各岗位工作标准，并制定具体的落实措施和考核办法。</w:t>
            </w:r>
          </w:p>
        </w:tc>
        <w:tc>
          <w:tcPr>
            <w:tcW w:w="714" w:type="dxa"/>
            <w:shd w:val="clear" w:color="auto" w:fill="auto"/>
            <w:vAlign w:val="center"/>
          </w:tcPr>
          <w:p w14:paraId="56683CDB">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shd w:val="clear" w:color="auto" w:fill="auto"/>
            <w:vAlign w:val="center"/>
          </w:tcPr>
          <w:p w14:paraId="131E87FB">
            <w:pPr>
              <w:rPr>
                <w:rFonts w:asciiTheme="minorEastAsia" w:hAnsiTheme="minorEastAsia" w:eastAsiaTheme="minorEastAsia"/>
                <w:sz w:val="21"/>
                <w:szCs w:val="21"/>
              </w:rPr>
            </w:pPr>
            <w:r>
              <w:rPr>
                <w:rFonts w:hint="eastAsia" w:asciiTheme="minorEastAsia" w:hAnsiTheme="minorEastAsia" w:eastAsiaTheme="minorEastAsia"/>
                <w:sz w:val="21"/>
                <w:szCs w:val="21"/>
              </w:rPr>
              <w:t>主要检查：物业管理服务工作程序、质量保证制度，收费管理制度，财务制度，岗位考核制度等，缺乏一项基本制度扣0.5分，未制定落实措施和考核办法扣0.5分</w:t>
            </w:r>
          </w:p>
        </w:tc>
        <w:tc>
          <w:tcPr>
            <w:tcW w:w="658" w:type="dxa"/>
            <w:shd w:val="clear" w:color="auto" w:fill="auto"/>
            <w:vAlign w:val="center"/>
          </w:tcPr>
          <w:p w14:paraId="2AD3889C">
            <w:pPr>
              <w:jc w:val="center"/>
              <w:rPr>
                <w:rFonts w:asciiTheme="minorEastAsia" w:hAnsiTheme="minorEastAsia" w:eastAsiaTheme="minorEastAsia"/>
                <w:sz w:val="21"/>
                <w:szCs w:val="21"/>
              </w:rPr>
            </w:pPr>
          </w:p>
        </w:tc>
      </w:tr>
      <w:tr w14:paraId="069D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00" w:type="dxa"/>
            <w:vMerge w:val="continue"/>
            <w:shd w:val="clear" w:color="auto" w:fill="auto"/>
            <w:vAlign w:val="center"/>
          </w:tcPr>
          <w:p w14:paraId="6126702C">
            <w:pPr>
              <w:jc w:val="center"/>
              <w:rPr>
                <w:rFonts w:asciiTheme="minorEastAsia" w:hAnsiTheme="minorEastAsia" w:eastAsiaTheme="minorEastAsia"/>
                <w:sz w:val="21"/>
                <w:szCs w:val="21"/>
              </w:rPr>
            </w:pPr>
          </w:p>
        </w:tc>
        <w:tc>
          <w:tcPr>
            <w:tcW w:w="4400" w:type="dxa"/>
            <w:shd w:val="clear" w:color="auto" w:fill="auto"/>
            <w:vAlign w:val="center"/>
          </w:tcPr>
          <w:p w14:paraId="2230FA9D">
            <w:pP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4</w:t>
            </w:r>
            <w:r>
              <w:rPr>
                <w:rFonts w:hint="eastAsia" w:asciiTheme="minorEastAsia" w:hAnsiTheme="minorEastAsia" w:eastAsiaTheme="minorEastAsia"/>
                <w:sz w:val="21"/>
                <w:szCs w:val="21"/>
              </w:rPr>
              <w:t>、建立24小时值班制度，设立服务电话，接受业主和使用人对物业管理服务报修、求助、建议、咨询、质疑、投诉等各类信息的收集和反馈，并及时处理，有回访制度和记录。</w:t>
            </w:r>
          </w:p>
        </w:tc>
        <w:tc>
          <w:tcPr>
            <w:tcW w:w="714" w:type="dxa"/>
            <w:shd w:val="clear" w:color="auto" w:fill="auto"/>
            <w:vAlign w:val="center"/>
          </w:tcPr>
          <w:p w14:paraId="67C835EE">
            <w:pPr>
              <w:jc w:val="center"/>
              <w:rPr>
                <w:rFonts w:asciiTheme="minorEastAsia" w:hAnsiTheme="minorEastAsia" w:eastAsia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eastAsiaTheme="minorEastAsia"/>
                <w:sz w:val="21"/>
                <w:szCs w:val="21"/>
              </w:rPr>
              <w:t>分</w:t>
            </w:r>
          </w:p>
        </w:tc>
        <w:tc>
          <w:tcPr>
            <w:tcW w:w="2869" w:type="dxa"/>
            <w:shd w:val="clear" w:color="auto" w:fill="auto"/>
            <w:vAlign w:val="center"/>
          </w:tcPr>
          <w:p w14:paraId="6D95A4BC">
            <w:pPr>
              <w:rPr>
                <w:rFonts w:asciiTheme="minorEastAsia" w:hAnsiTheme="minorEastAsia" w:eastAsiaTheme="minorEastAsia"/>
                <w:sz w:val="21"/>
                <w:szCs w:val="21"/>
              </w:rPr>
            </w:pPr>
            <w:r>
              <w:rPr>
                <w:rFonts w:hint="eastAsia" w:asciiTheme="minorEastAsia" w:hAnsiTheme="minorEastAsia" w:eastAsiaTheme="minorEastAsia"/>
                <w:sz w:val="21"/>
                <w:szCs w:val="21"/>
              </w:rPr>
              <w:t>建立制度1分，及时反馈</w:t>
            </w:r>
            <w:r>
              <w:rPr>
                <w:rFonts w:asciiTheme="minorEastAsia" w:hAnsiTheme="minorEastAsia" w:eastAsiaTheme="minorEastAsia"/>
                <w:sz w:val="21"/>
                <w:szCs w:val="21"/>
              </w:rPr>
              <w:t>0.5</w:t>
            </w:r>
            <w:r>
              <w:rPr>
                <w:rFonts w:hint="eastAsia" w:asciiTheme="minorEastAsia" w:hAnsiTheme="minorEastAsia" w:eastAsiaTheme="minorEastAsia"/>
                <w:sz w:val="21"/>
                <w:szCs w:val="21"/>
              </w:rPr>
              <w:t>分，及时处理</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分，回访制度和记录0.5分，符合得分，不符合不得分。</w:t>
            </w:r>
          </w:p>
        </w:tc>
        <w:tc>
          <w:tcPr>
            <w:tcW w:w="658" w:type="dxa"/>
            <w:shd w:val="clear" w:color="auto" w:fill="auto"/>
            <w:vAlign w:val="center"/>
          </w:tcPr>
          <w:p w14:paraId="531E72FA">
            <w:pPr>
              <w:jc w:val="center"/>
              <w:rPr>
                <w:rFonts w:asciiTheme="minorEastAsia" w:hAnsiTheme="minorEastAsia" w:eastAsiaTheme="minorEastAsia"/>
                <w:sz w:val="21"/>
                <w:szCs w:val="21"/>
              </w:rPr>
            </w:pPr>
          </w:p>
        </w:tc>
      </w:tr>
      <w:tr w14:paraId="389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shd w:val="clear" w:color="auto" w:fill="auto"/>
            <w:vAlign w:val="center"/>
          </w:tcPr>
          <w:p w14:paraId="25281A20">
            <w:pPr>
              <w:jc w:val="center"/>
              <w:rPr>
                <w:rFonts w:asciiTheme="minorEastAsia" w:hAnsiTheme="minorEastAsia" w:eastAsiaTheme="minorEastAsia"/>
                <w:sz w:val="21"/>
                <w:szCs w:val="21"/>
              </w:rPr>
            </w:pPr>
          </w:p>
        </w:tc>
        <w:tc>
          <w:tcPr>
            <w:tcW w:w="4400" w:type="dxa"/>
            <w:shd w:val="clear" w:color="auto" w:fill="auto"/>
            <w:vAlign w:val="center"/>
          </w:tcPr>
          <w:p w14:paraId="07D9A916">
            <w:pP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、建立并落实维修服务承诺制，零修急修及时率100%，返修率不高于1%，并有回访记录。</w:t>
            </w:r>
          </w:p>
        </w:tc>
        <w:tc>
          <w:tcPr>
            <w:tcW w:w="714" w:type="dxa"/>
            <w:shd w:val="clear" w:color="auto" w:fill="auto"/>
            <w:vAlign w:val="center"/>
          </w:tcPr>
          <w:p w14:paraId="1E16C7EC">
            <w:pPr>
              <w:jc w:val="center"/>
              <w:rPr>
                <w:rFonts w:asciiTheme="minorEastAsia" w:hAnsiTheme="minorEastAsia" w:eastAsiaTheme="minorEastAsia"/>
                <w:sz w:val="21"/>
                <w:szCs w:val="21"/>
              </w:rPr>
            </w:pPr>
            <w:r>
              <w:rPr>
                <w:rFonts w:hint="eastAsia" w:asciiTheme="minorEastAsia" w:hAnsiTheme="minorEastAsia"/>
                <w:sz w:val="21"/>
                <w:szCs w:val="21"/>
                <w:lang w:val="en-US" w:eastAsia="zh-CN"/>
              </w:rPr>
              <w:t>2</w:t>
            </w:r>
            <w:r>
              <w:rPr>
                <w:rFonts w:hint="eastAsia" w:asciiTheme="minorEastAsia" w:hAnsiTheme="minorEastAsia" w:eastAsiaTheme="minorEastAsia"/>
                <w:sz w:val="21"/>
                <w:szCs w:val="21"/>
              </w:rPr>
              <w:t>分</w:t>
            </w:r>
          </w:p>
        </w:tc>
        <w:tc>
          <w:tcPr>
            <w:tcW w:w="2869" w:type="dxa"/>
            <w:shd w:val="clear" w:color="auto" w:fill="auto"/>
            <w:vAlign w:val="center"/>
          </w:tcPr>
          <w:p w14:paraId="16B52D25">
            <w:pPr>
              <w:rPr>
                <w:rFonts w:asciiTheme="minorEastAsia" w:hAnsiTheme="minorEastAsia" w:eastAsiaTheme="minorEastAsia"/>
                <w:sz w:val="21"/>
                <w:szCs w:val="21"/>
              </w:rPr>
            </w:pPr>
            <w:r>
              <w:rPr>
                <w:rFonts w:hint="eastAsia" w:asciiTheme="minorEastAsia" w:hAnsiTheme="minorEastAsia" w:eastAsiaTheme="minorEastAsia"/>
                <w:sz w:val="21"/>
                <w:szCs w:val="21"/>
              </w:rPr>
              <w:t>建立制度1分，落实情况0.5分，回访记录0.5分，符合得分，不符合不得分</w:t>
            </w:r>
          </w:p>
        </w:tc>
        <w:tc>
          <w:tcPr>
            <w:tcW w:w="658" w:type="dxa"/>
            <w:shd w:val="clear" w:color="auto" w:fill="auto"/>
            <w:vAlign w:val="center"/>
          </w:tcPr>
          <w:p w14:paraId="1B180325">
            <w:pPr>
              <w:jc w:val="center"/>
              <w:rPr>
                <w:rFonts w:asciiTheme="minorEastAsia" w:hAnsiTheme="minorEastAsia" w:eastAsiaTheme="minorEastAsia"/>
                <w:sz w:val="21"/>
                <w:szCs w:val="21"/>
              </w:rPr>
            </w:pPr>
          </w:p>
        </w:tc>
      </w:tr>
      <w:tr w14:paraId="2642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shd w:val="clear" w:color="auto" w:fill="auto"/>
            <w:vAlign w:val="center"/>
          </w:tcPr>
          <w:p w14:paraId="36F3CAD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二</w:t>
            </w:r>
          </w:p>
        </w:tc>
        <w:tc>
          <w:tcPr>
            <w:tcW w:w="4400" w:type="dxa"/>
            <w:shd w:val="clear" w:color="auto" w:fill="auto"/>
            <w:vAlign w:val="center"/>
          </w:tcPr>
          <w:p w14:paraId="2BD6549E">
            <w:pPr>
              <w:rPr>
                <w:rFonts w:asciiTheme="minorEastAsia" w:hAnsiTheme="minorEastAsia" w:eastAsiaTheme="minorEastAsia"/>
                <w:sz w:val="21"/>
                <w:szCs w:val="21"/>
              </w:rPr>
            </w:pPr>
            <w:r>
              <w:rPr>
                <w:rFonts w:hint="eastAsia" w:asciiTheme="minorEastAsia" w:hAnsiTheme="minorEastAsia" w:eastAsiaTheme="minorEastAsia"/>
                <w:sz w:val="21"/>
                <w:szCs w:val="21"/>
              </w:rPr>
              <w:t>公共设施设备管理</w:t>
            </w:r>
          </w:p>
        </w:tc>
        <w:tc>
          <w:tcPr>
            <w:tcW w:w="714" w:type="dxa"/>
            <w:shd w:val="clear" w:color="auto" w:fill="auto"/>
            <w:vAlign w:val="center"/>
          </w:tcPr>
          <w:p w14:paraId="390BB9BD">
            <w:pPr>
              <w:jc w:val="center"/>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分</w:t>
            </w:r>
          </w:p>
        </w:tc>
        <w:tc>
          <w:tcPr>
            <w:tcW w:w="2869" w:type="dxa"/>
            <w:shd w:val="clear" w:color="auto" w:fill="auto"/>
            <w:vAlign w:val="center"/>
          </w:tcPr>
          <w:p w14:paraId="2ED62A74">
            <w:pPr>
              <w:rPr>
                <w:rFonts w:asciiTheme="minorEastAsia" w:hAnsiTheme="minorEastAsia" w:eastAsiaTheme="minorEastAsia"/>
                <w:sz w:val="21"/>
                <w:szCs w:val="21"/>
              </w:rPr>
            </w:pPr>
          </w:p>
        </w:tc>
        <w:tc>
          <w:tcPr>
            <w:tcW w:w="658" w:type="dxa"/>
            <w:shd w:val="clear" w:color="auto" w:fill="auto"/>
            <w:vAlign w:val="center"/>
          </w:tcPr>
          <w:p w14:paraId="3A21EDF8">
            <w:pPr>
              <w:jc w:val="center"/>
              <w:rPr>
                <w:rFonts w:asciiTheme="minorEastAsia" w:hAnsiTheme="minorEastAsia" w:eastAsiaTheme="minorEastAsia"/>
                <w:sz w:val="21"/>
                <w:szCs w:val="21"/>
              </w:rPr>
            </w:pPr>
          </w:p>
        </w:tc>
      </w:tr>
      <w:tr w14:paraId="63A8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A0D057F">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104CDBE">
            <w:pPr>
              <w:rPr>
                <w:rFonts w:asciiTheme="minorEastAsia" w:hAnsiTheme="minorEastAsia" w:eastAsiaTheme="minorEastAsia"/>
                <w:sz w:val="21"/>
                <w:szCs w:val="21"/>
              </w:rPr>
            </w:pPr>
            <w:r>
              <w:rPr>
                <w:rFonts w:hint="eastAsia" w:asciiTheme="minorEastAsia" w:hAnsiTheme="minorEastAsia" w:eastAsiaTheme="minorEastAsia"/>
                <w:sz w:val="21"/>
                <w:szCs w:val="21"/>
              </w:rPr>
              <w:t>（一）综合要求</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D690EC2">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B2E1E35">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D797396">
            <w:pPr>
              <w:jc w:val="center"/>
              <w:rPr>
                <w:rFonts w:asciiTheme="minorEastAsia" w:hAnsiTheme="minorEastAsia" w:eastAsiaTheme="minorEastAsia"/>
                <w:sz w:val="21"/>
                <w:szCs w:val="21"/>
              </w:rPr>
            </w:pPr>
          </w:p>
        </w:tc>
      </w:tr>
      <w:tr w14:paraId="3B3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40D2C06">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8CC6EC1">
            <w:pPr>
              <w:rPr>
                <w:rFonts w:asciiTheme="minorEastAsia" w:hAnsiTheme="minorEastAsia" w:eastAsiaTheme="minorEastAsia"/>
                <w:sz w:val="21"/>
                <w:szCs w:val="21"/>
              </w:rPr>
            </w:pPr>
            <w:r>
              <w:rPr>
                <w:rFonts w:hint="eastAsia" w:asciiTheme="minorEastAsia" w:hAnsiTheme="minorEastAsia" w:eastAsiaTheme="minorEastAsia"/>
                <w:sz w:val="21"/>
                <w:szCs w:val="21"/>
              </w:rPr>
              <w:t>制订设备安全运行、岗位责任制，定期巡回检查、维护保养、运行记录管理、维修档案等管理制度，并严格执行，设备良好，运行正常，一年内无重大管理责任事故。确保公共服务设施设备、公共照明完好。</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9E6836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69EBFC8">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00816CF">
            <w:pPr>
              <w:jc w:val="center"/>
              <w:rPr>
                <w:rFonts w:asciiTheme="minorEastAsia" w:hAnsiTheme="minorEastAsia" w:eastAsiaTheme="minorEastAsia"/>
                <w:sz w:val="21"/>
                <w:szCs w:val="21"/>
              </w:rPr>
            </w:pPr>
          </w:p>
        </w:tc>
      </w:tr>
      <w:tr w14:paraId="785E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E508BCE">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BFB1164">
            <w:pPr>
              <w:rPr>
                <w:rFonts w:asciiTheme="minorEastAsia" w:hAnsiTheme="minorEastAsia" w:eastAsiaTheme="minorEastAsia"/>
                <w:sz w:val="21"/>
                <w:szCs w:val="21"/>
              </w:rPr>
            </w:pPr>
            <w:r>
              <w:rPr>
                <w:rFonts w:hint="eastAsia" w:asciiTheme="minorEastAsia" w:hAnsiTheme="minorEastAsia" w:eastAsiaTheme="minorEastAsia"/>
                <w:sz w:val="21"/>
                <w:szCs w:val="21"/>
              </w:rPr>
              <w:t>（二）供电系统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8D14CBE">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BFA4D44">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6E8A85E">
            <w:pPr>
              <w:jc w:val="center"/>
              <w:rPr>
                <w:rFonts w:asciiTheme="minorEastAsia" w:hAnsiTheme="minorEastAsia" w:eastAsiaTheme="minorEastAsia"/>
                <w:sz w:val="21"/>
                <w:szCs w:val="21"/>
              </w:rPr>
            </w:pPr>
          </w:p>
        </w:tc>
      </w:tr>
      <w:tr w14:paraId="3CCD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55B4147">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82AB1A2">
            <w:pPr>
              <w:rPr>
                <w:rFonts w:asciiTheme="minorEastAsia" w:hAnsiTheme="minorEastAsia" w:eastAsiaTheme="minorEastAsia"/>
                <w:sz w:val="21"/>
                <w:szCs w:val="21"/>
              </w:rPr>
            </w:pPr>
            <w:r>
              <w:rPr>
                <w:rFonts w:hint="eastAsia" w:asciiTheme="minorEastAsia" w:hAnsiTheme="minorEastAsia" w:eastAsiaTheme="minorEastAsia"/>
                <w:sz w:val="21"/>
                <w:szCs w:val="21"/>
              </w:rPr>
              <w:t>制订临时用电管理措施与停电应急处理措施并严格执行。限电、停电应按规定时间通知业主。</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F115AB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4AEECAC">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C57EF69">
            <w:pPr>
              <w:jc w:val="center"/>
              <w:rPr>
                <w:rFonts w:asciiTheme="minorEastAsia" w:hAnsiTheme="minorEastAsia" w:eastAsiaTheme="minorEastAsia"/>
                <w:sz w:val="21"/>
                <w:szCs w:val="21"/>
              </w:rPr>
            </w:pPr>
          </w:p>
        </w:tc>
      </w:tr>
      <w:tr w14:paraId="0B57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D8627F5">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E230205">
            <w:pPr>
              <w:rPr>
                <w:rFonts w:asciiTheme="minorEastAsia" w:hAnsiTheme="minorEastAsia" w:eastAsiaTheme="minorEastAsia"/>
                <w:sz w:val="21"/>
                <w:szCs w:val="21"/>
              </w:rPr>
            </w:pPr>
            <w:r>
              <w:rPr>
                <w:rFonts w:hint="eastAsia" w:asciiTheme="minorEastAsia" w:hAnsiTheme="minorEastAsia" w:eastAsiaTheme="minorEastAsia"/>
                <w:sz w:val="21"/>
                <w:szCs w:val="21"/>
              </w:rPr>
              <w:t>（三）弱电系统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D64F92F">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A4A73F1">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A4D1E12">
            <w:pPr>
              <w:jc w:val="center"/>
              <w:rPr>
                <w:rFonts w:asciiTheme="minorEastAsia" w:hAnsiTheme="minorEastAsia" w:eastAsiaTheme="minorEastAsia"/>
                <w:sz w:val="21"/>
                <w:szCs w:val="21"/>
              </w:rPr>
            </w:pPr>
          </w:p>
        </w:tc>
      </w:tr>
      <w:tr w14:paraId="2851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DBA29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EC42686">
            <w:pPr>
              <w:rPr>
                <w:rFonts w:asciiTheme="minorEastAsia" w:hAnsiTheme="minorEastAsia" w:eastAsiaTheme="minorEastAsia"/>
                <w:sz w:val="21"/>
                <w:szCs w:val="21"/>
              </w:rPr>
            </w:pPr>
            <w:r>
              <w:rPr>
                <w:rFonts w:hint="eastAsia" w:asciiTheme="minorEastAsia" w:hAnsiTheme="minorEastAsia" w:eastAsiaTheme="minorEastAsia"/>
                <w:sz w:val="21"/>
                <w:szCs w:val="21"/>
              </w:rPr>
              <w:t>弱电系统正常工作，监控系统等智能化设施设备运行正常，有巡检记录。</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11C970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F82556E">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符合2分，每发现一处不符合扣0.5分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0FC7AB2">
            <w:pPr>
              <w:jc w:val="center"/>
              <w:rPr>
                <w:rFonts w:asciiTheme="minorEastAsia" w:hAnsiTheme="minorEastAsia" w:eastAsiaTheme="minorEastAsia"/>
                <w:sz w:val="21"/>
                <w:szCs w:val="21"/>
              </w:rPr>
            </w:pPr>
          </w:p>
        </w:tc>
      </w:tr>
      <w:tr w14:paraId="5582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0677467">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16BF371A">
            <w:pPr>
              <w:rPr>
                <w:rFonts w:asciiTheme="minorEastAsia" w:hAnsiTheme="minorEastAsia" w:eastAsiaTheme="minorEastAsia"/>
                <w:sz w:val="21"/>
                <w:szCs w:val="21"/>
              </w:rPr>
            </w:pPr>
            <w:r>
              <w:rPr>
                <w:rFonts w:hint="eastAsia" w:asciiTheme="minorEastAsia" w:hAnsiTheme="minorEastAsia" w:eastAsiaTheme="minorEastAsia"/>
                <w:sz w:val="21"/>
                <w:szCs w:val="21"/>
              </w:rPr>
              <w:t>（四）消防系统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9C4B3D2">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5680C5A">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70DD5DE">
            <w:pPr>
              <w:jc w:val="center"/>
              <w:rPr>
                <w:rFonts w:asciiTheme="minorEastAsia" w:hAnsiTheme="minorEastAsia" w:eastAsiaTheme="minorEastAsia"/>
                <w:sz w:val="21"/>
                <w:szCs w:val="21"/>
              </w:rPr>
            </w:pPr>
          </w:p>
        </w:tc>
      </w:tr>
      <w:tr w14:paraId="78E8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D19822B">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A085733">
            <w:pPr>
              <w:rPr>
                <w:rFonts w:asciiTheme="minorEastAsia" w:hAnsiTheme="minorEastAsia" w:eastAsiaTheme="minorEastAsia"/>
                <w:sz w:val="21"/>
                <w:szCs w:val="21"/>
              </w:rPr>
            </w:pPr>
            <w:r>
              <w:rPr>
                <w:rFonts w:hint="eastAsia" w:asciiTheme="minorEastAsia" w:hAnsiTheme="minorEastAsia" w:eastAsiaTheme="minorEastAsia"/>
                <w:sz w:val="21"/>
                <w:szCs w:val="21"/>
              </w:rPr>
              <w:t>1、消防系统设施设备齐全，完好无损，可随时起用，无火灾安全隐患。</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941F5DA">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7A3D37D">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7244B7F">
            <w:pPr>
              <w:jc w:val="center"/>
              <w:rPr>
                <w:rFonts w:asciiTheme="minorEastAsia" w:hAnsiTheme="minorEastAsia" w:eastAsiaTheme="minorEastAsia"/>
                <w:sz w:val="21"/>
                <w:szCs w:val="21"/>
              </w:rPr>
            </w:pPr>
          </w:p>
        </w:tc>
      </w:tr>
      <w:tr w14:paraId="3C8A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FF5BCF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4EC851C">
            <w:pPr>
              <w:rPr>
                <w:rFonts w:asciiTheme="minorEastAsia" w:hAnsiTheme="minorEastAsia" w:eastAsiaTheme="minorEastAsia"/>
                <w:sz w:val="21"/>
                <w:szCs w:val="21"/>
              </w:rPr>
            </w:pPr>
            <w:r>
              <w:rPr>
                <w:rFonts w:hint="eastAsia" w:asciiTheme="minorEastAsia" w:hAnsiTheme="minorEastAsia" w:eastAsiaTheme="minorEastAsia"/>
                <w:sz w:val="21"/>
                <w:szCs w:val="21"/>
              </w:rPr>
              <w:t>2、消防管理人员掌握消防设施设备的使用方法，并能及时处理各种问题。</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03D8D45">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FBAE889">
            <w:pPr>
              <w:rPr>
                <w:rFonts w:asciiTheme="minorEastAsia" w:hAnsiTheme="minorEastAsia" w:eastAsiaTheme="minorEastAsia"/>
                <w:sz w:val="21"/>
                <w:szCs w:val="21"/>
              </w:rPr>
            </w:pPr>
            <w:r>
              <w:rPr>
                <w:rFonts w:hint="eastAsia" w:asciiTheme="minorEastAsia" w:hAnsiTheme="minorEastAsia" w:eastAsiaTheme="minorEastAsia"/>
                <w:sz w:val="21"/>
                <w:szCs w:val="21"/>
              </w:rPr>
              <w:t>每发现一人或一处不符合扣0.2分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FC6B8D7">
            <w:pPr>
              <w:jc w:val="center"/>
              <w:rPr>
                <w:rFonts w:asciiTheme="minorEastAsia" w:hAnsiTheme="minorEastAsia" w:eastAsiaTheme="minorEastAsia"/>
                <w:sz w:val="21"/>
                <w:szCs w:val="21"/>
              </w:rPr>
            </w:pPr>
          </w:p>
        </w:tc>
      </w:tr>
      <w:tr w14:paraId="7104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41A6FDE">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9843F37">
            <w:pPr>
              <w:rPr>
                <w:rFonts w:asciiTheme="minorEastAsia" w:hAnsiTheme="minorEastAsia" w:eastAsiaTheme="minorEastAsia"/>
                <w:sz w:val="21"/>
                <w:szCs w:val="21"/>
              </w:rPr>
            </w:pPr>
            <w:r>
              <w:rPr>
                <w:rFonts w:hint="eastAsia" w:asciiTheme="minorEastAsia" w:hAnsiTheme="minorEastAsia" w:eastAsiaTheme="minorEastAsia"/>
                <w:sz w:val="21"/>
                <w:szCs w:val="21"/>
              </w:rPr>
              <w:t>3、订有突发火灾的应急方案，设立消防疏散示意图，照明设施，引路标志完好，紧急疏散，通道畅通。</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39F646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E226865">
            <w:pPr>
              <w:rPr>
                <w:rFonts w:asciiTheme="minorEastAsia" w:hAnsiTheme="minorEastAsia" w:eastAsiaTheme="minorEastAsia"/>
                <w:sz w:val="21"/>
                <w:szCs w:val="21"/>
              </w:rPr>
            </w:pPr>
            <w:r>
              <w:rPr>
                <w:rFonts w:hint="eastAsia" w:asciiTheme="minorEastAsia" w:hAnsiTheme="minorEastAsia" w:eastAsiaTheme="minorEastAsia"/>
                <w:sz w:val="21"/>
                <w:szCs w:val="21"/>
              </w:rPr>
              <w:t>无应急方案扣1分，各种标志每缺少一个或每发现一处不畅通扣0.2分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5F670E9">
            <w:pPr>
              <w:jc w:val="center"/>
              <w:rPr>
                <w:rFonts w:asciiTheme="minorEastAsia" w:hAnsiTheme="minorEastAsia" w:eastAsiaTheme="minorEastAsia"/>
                <w:sz w:val="21"/>
                <w:szCs w:val="21"/>
              </w:rPr>
            </w:pPr>
          </w:p>
        </w:tc>
      </w:tr>
      <w:tr w14:paraId="3EDF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C86E68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52F8C2B">
            <w:pPr>
              <w:rPr>
                <w:rFonts w:asciiTheme="minorEastAsia" w:hAnsiTheme="minorEastAsia" w:eastAsiaTheme="minorEastAsia"/>
                <w:sz w:val="21"/>
                <w:szCs w:val="21"/>
              </w:rPr>
            </w:pPr>
            <w:r>
              <w:rPr>
                <w:rFonts w:hint="eastAsia" w:asciiTheme="minorEastAsia" w:hAnsiTheme="minorEastAsia" w:eastAsiaTheme="minorEastAsia"/>
                <w:sz w:val="21"/>
                <w:szCs w:val="21"/>
              </w:rPr>
              <w:t>（五）电梯系统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745F6B4">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B773F32">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06A0361">
            <w:pPr>
              <w:jc w:val="center"/>
              <w:rPr>
                <w:rFonts w:asciiTheme="minorEastAsia" w:hAnsiTheme="minorEastAsia" w:eastAsiaTheme="minorEastAsia"/>
                <w:sz w:val="21"/>
                <w:szCs w:val="21"/>
              </w:rPr>
            </w:pPr>
          </w:p>
        </w:tc>
      </w:tr>
      <w:tr w14:paraId="1378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2748F33">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581422F">
            <w:pPr>
              <w:rPr>
                <w:rFonts w:asciiTheme="minorEastAsia" w:hAnsiTheme="minorEastAsia" w:eastAsiaTheme="minorEastAsia"/>
                <w:sz w:val="21"/>
                <w:szCs w:val="21"/>
              </w:rPr>
            </w:pPr>
            <w:r>
              <w:rPr>
                <w:rFonts w:hint="eastAsia" w:asciiTheme="minorEastAsia" w:hAnsiTheme="minorEastAsia" w:eastAsiaTheme="minorEastAsia"/>
                <w:sz w:val="21"/>
                <w:szCs w:val="21"/>
              </w:rPr>
              <w:t>1、电梯年检合格证、维修保养合同完备，电梯由专业队伍维修保养，维保人员持证上岗。</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192716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C3AAA2F">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D81725D">
            <w:pPr>
              <w:jc w:val="center"/>
              <w:rPr>
                <w:rFonts w:asciiTheme="minorEastAsia" w:hAnsiTheme="minorEastAsia" w:eastAsiaTheme="minorEastAsia"/>
                <w:sz w:val="21"/>
                <w:szCs w:val="21"/>
              </w:rPr>
            </w:pPr>
          </w:p>
        </w:tc>
      </w:tr>
      <w:tr w14:paraId="3FF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9F4D928">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549012D">
            <w:pPr>
              <w:rPr>
                <w:rFonts w:asciiTheme="minorEastAsia" w:hAnsiTheme="minorEastAsia" w:eastAsiaTheme="minorEastAsia"/>
                <w:sz w:val="21"/>
                <w:szCs w:val="21"/>
              </w:rPr>
            </w:pPr>
            <w:r>
              <w:rPr>
                <w:rFonts w:hint="eastAsia" w:asciiTheme="minorEastAsia" w:hAnsiTheme="minorEastAsia" w:eastAsiaTheme="minorEastAsia"/>
                <w:sz w:val="21"/>
                <w:szCs w:val="21"/>
              </w:rPr>
              <w:t>2、电梯按规定时间运行，安全设施齐全，通风照明及附属设施完好，轿厢、井道、机房保持清洁。</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6E1790F">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05A9CFB">
            <w:pPr>
              <w:rPr>
                <w:rFonts w:asciiTheme="minorEastAsia" w:hAnsiTheme="minorEastAsia" w:eastAsiaTheme="minorEastAsia"/>
                <w:sz w:val="21"/>
                <w:szCs w:val="21"/>
              </w:rPr>
            </w:pPr>
            <w:r>
              <w:rPr>
                <w:rFonts w:hint="eastAsia" w:asciiTheme="minorEastAsia" w:hAnsiTheme="minorEastAsia" w:eastAsiaTheme="minorEastAsia"/>
                <w:sz w:val="21"/>
                <w:szCs w:val="21"/>
              </w:rPr>
              <w:t>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B56B34D">
            <w:pPr>
              <w:jc w:val="center"/>
              <w:rPr>
                <w:rFonts w:asciiTheme="minorEastAsia" w:hAnsiTheme="minorEastAsia" w:eastAsiaTheme="minorEastAsia"/>
                <w:sz w:val="21"/>
                <w:szCs w:val="21"/>
              </w:rPr>
            </w:pPr>
          </w:p>
        </w:tc>
      </w:tr>
      <w:tr w14:paraId="401C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793816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70B3D73">
            <w:pPr>
              <w:rPr>
                <w:rFonts w:asciiTheme="minorEastAsia" w:hAnsiTheme="minorEastAsia" w:eastAsiaTheme="minorEastAsia"/>
                <w:sz w:val="21"/>
                <w:szCs w:val="21"/>
              </w:rPr>
            </w:pPr>
            <w:r>
              <w:rPr>
                <w:rFonts w:hint="eastAsia" w:asciiTheme="minorEastAsia" w:hAnsiTheme="minorEastAsia" w:eastAsiaTheme="minorEastAsia"/>
                <w:sz w:val="21"/>
                <w:szCs w:val="21"/>
              </w:rPr>
              <w:t>3、运行出现故障后，维修人员应在规定时间内到达现场维修，运行出现险情后，应有排除险情的应急处理措施。</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2E8E5CA">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529F09D">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B5F43AA">
            <w:pPr>
              <w:jc w:val="center"/>
              <w:rPr>
                <w:rFonts w:asciiTheme="minorEastAsia" w:hAnsiTheme="minorEastAsia" w:eastAsiaTheme="minorEastAsia"/>
                <w:sz w:val="21"/>
                <w:szCs w:val="21"/>
              </w:rPr>
            </w:pPr>
          </w:p>
        </w:tc>
      </w:tr>
      <w:tr w14:paraId="2C92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5F9CCF5">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303D0CA">
            <w:pPr>
              <w:rPr>
                <w:rFonts w:asciiTheme="minorEastAsia" w:hAnsiTheme="minorEastAsia" w:eastAsiaTheme="minorEastAsia"/>
                <w:sz w:val="21"/>
                <w:szCs w:val="21"/>
              </w:rPr>
            </w:pPr>
            <w:r>
              <w:rPr>
                <w:rFonts w:hint="eastAsia" w:asciiTheme="minorEastAsia" w:hAnsiTheme="minorEastAsia" w:eastAsiaTheme="minorEastAsia"/>
                <w:sz w:val="21"/>
                <w:szCs w:val="21"/>
              </w:rPr>
              <w:t>（六）给排水系统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46BE847">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A392613">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A0B48FE">
            <w:pPr>
              <w:jc w:val="center"/>
              <w:rPr>
                <w:rFonts w:asciiTheme="minorEastAsia" w:hAnsiTheme="minorEastAsia" w:eastAsiaTheme="minorEastAsia"/>
                <w:sz w:val="21"/>
                <w:szCs w:val="21"/>
              </w:rPr>
            </w:pPr>
          </w:p>
        </w:tc>
      </w:tr>
      <w:tr w14:paraId="30AA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74BC752">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9C36DC2">
            <w:pPr>
              <w:rPr>
                <w:rFonts w:asciiTheme="minorEastAsia" w:hAnsiTheme="minorEastAsia" w:eastAsiaTheme="minorEastAsia"/>
                <w:sz w:val="21"/>
                <w:szCs w:val="21"/>
              </w:rPr>
            </w:pPr>
            <w:r>
              <w:rPr>
                <w:rFonts w:hint="eastAsia" w:asciiTheme="minorEastAsia" w:hAnsiTheme="minorEastAsia" w:eastAsiaTheme="minorEastAsia"/>
                <w:sz w:val="21"/>
                <w:szCs w:val="21"/>
              </w:rPr>
              <w:t>1、建立大厦用水、供水管理制度，积极协助业主安排合理的用水和节水计划。</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090DFDD">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AFAB367">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920FCDF">
            <w:pPr>
              <w:jc w:val="center"/>
              <w:rPr>
                <w:rFonts w:asciiTheme="minorEastAsia" w:hAnsiTheme="minorEastAsia" w:eastAsiaTheme="minorEastAsia"/>
                <w:sz w:val="21"/>
                <w:szCs w:val="21"/>
              </w:rPr>
            </w:pPr>
          </w:p>
        </w:tc>
      </w:tr>
      <w:tr w14:paraId="0940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3C174D0">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70EA2C4">
            <w:pPr>
              <w:rPr>
                <w:rFonts w:asciiTheme="minorEastAsia" w:hAnsiTheme="minorEastAsia" w:eastAsiaTheme="minorEastAsia"/>
                <w:sz w:val="21"/>
                <w:szCs w:val="21"/>
              </w:rPr>
            </w:pPr>
            <w:r>
              <w:rPr>
                <w:rFonts w:hint="eastAsia" w:asciiTheme="minorEastAsia" w:hAnsiTheme="minorEastAsia" w:eastAsiaTheme="minorEastAsia"/>
                <w:sz w:val="21"/>
                <w:szCs w:val="21"/>
              </w:rPr>
              <w:t>2、设备、阀门、管理工作正常，无跑冒滴漏，水池、水箱有严格的管理措施，水池、水箱周围无污染隐患。</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BCBF045">
            <w:pPr>
              <w:jc w:val="center"/>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0CE4E1B">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2FF4AF5">
            <w:pPr>
              <w:jc w:val="center"/>
              <w:rPr>
                <w:rFonts w:asciiTheme="minorEastAsia" w:hAnsiTheme="minorEastAsia" w:eastAsiaTheme="minorEastAsia"/>
                <w:sz w:val="21"/>
                <w:szCs w:val="21"/>
              </w:rPr>
            </w:pPr>
          </w:p>
        </w:tc>
      </w:tr>
      <w:tr w14:paraId="47B5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169CD0F">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D50209C">
            <w:pPr>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、排水系统通畅，汛期通路无积水，地下室、车库、设备无积水、浸泡发生。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70501D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CAA1951">
            <w:pPr>
              <w:rPr>
                <w:rFonts w:asciiTheme="minorEastAsia" w:hAnsiTheme="minorEastAsia" w:eastAsiaTheme="minorEastAsia"/>
                <w:sz w:val="21"/>
                <w:szCs w:val="21"/>
              </w:rPr>
            </w:pPr>
            <w:r>
              <w:rPr>
                <w:rFonts w:hint="eastAsia" w:asciiTheme="minorEastAsia" w:hAnsiTheme="minorEastAsia" w:eastAsiaTheme="minorEastAsia"/>
                <w:sz w:val="21"/>
                <w:szCs w:val="21"/>
              </w:rPr>
              <w:t>符合1分，每发现一处不符合扣0.2分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4F4AAD5">
            <w:pPr>
              <w:jc w:val="center"/>
              <w:rPr>
                <w:rFonts w:asciiTheme="minorEastAsia" w:hAnsiTheme="minorEastAsia" w:eastAsiaTheme="minorEastAsia"/>
                <w:sz w:val="21"/>
                <w:szCs w:val="21"/>
              </w:rPr>
            </w:pPr>
          </w:p>
        </w:tc>
      </w:tr>
      <w:tr w14:paraId="56DC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8C33C25">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41C7800">
            <w:pP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、限水、停水按规定时间通知业主，遇有事故，维修人员在规定时间内进行抢修，无大面积跑水、泛水，长时间停水现象，制定事故应急处理方案。</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CDFEB3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FA43A30">
            <w:pPr>
              <w:rPr>
                <w:rFonts w:asciiTheme="minorEastAsia" w:hAnsiTheme="minorEastAsia" w:eastAsiaTheme="minorEastAsia"/>
                <w:sz w:val="21"/>
                <w:szCs w:val="21"/>
              </w:rPr>
            </w:pPr>
            <w:r>
              <w:rPr>
                <w:rFonts w:hint="eastAsia" w:asciiTheme="minorEastAsia" w:hAnsiTheme="minorEastAsia" w:eastAsiaTheme="minorEastAsia"/>
                <w:sz w:val="21"/>
                <w:szCs w:val="21"/>
              </w:rPr>
              <w:t>符合1分，基本符合0.5分，不符合0分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45AEB2C">
            <w:pPr>
              <w:jc w:val="center"/>
              <w:rPr>
                <w:rFonts w:asciiTheme="minorEastAsia" w:hAnsiTheme="minorEastAsia" w:eastAsiaTheme="minorEastAsia"/>
                <w:sz w:val="21"/>
                <w:szCs w:val="21"/>
              </w:rPr>
            </w:pPr>
          </w:p>
        </w:tc>
      </w:tr>
      <w:tr w14:paraId="38F8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6C0F69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B3FE4EB">
            <w:pPr>
              <w:rPr>
                <w:rFonts w:asciiTheme="minorEastAsia" w:hAnsiTheme="minorEastAsia" w:eastAsiaTheme="minorEastAsia"/>
                <w:sz w:val="21"/>
                <w:szCs w:val="21"/>
              </w:rPr>
            </w:pPr>
            <w:r>
              <w:rPr>
                <w:rFonts w:hint="eastAsia" w:asciiTheme="minorEastAsia" w:hAnsiTheme="minorEastAsia" w:eastAsiaTheme="minorEastAsia"/>
                <w:sz w:val="21"/>
                <w:szCs w:val="21"/>
              </w:rPr>
              <w:t>（七）空调系统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552AA48">
            <w:pPr>
              <w:jc w:val="center"/>
              <w:rPr>
                <w:rFonts w:asciiTheme="minorEastAsia" w:hAnsiTheme="minorEastAsia" w:eastAsiaTheme="minorEastAsia"/>
                <w:sz w:val="21"/>
                <w:szCs w:val="21"/>
              </w:rPr>
            </w:pP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2841BA3C">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4EDEF54">
            <w:pPr>
              <w:jc w:val="center"/>
              <w:rPr>
                <w:rFonts w:asciiTheme="minorEastAsia" w:hAnsiTheme="minorEastAsia" w:eastAsiaTheme="minorEastAsia"/>
                <w:sz w:val="21"/>
                <w:szCs w:val="21"/>
              </w:rPr>
            </w:pPr>
          </w:p>
        </w:tc>
      </w:tr>
      <w:tr w14:paraId="0702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9E24040">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466A1F69">
            <w:pPr>
              <w:rPr>
                <w:rFonts w:asciiTheme="minorEastAsia" w:hAnsiTheme="minorEastAsia" w:eastAsiaTheme="minorEastAsia"/>
                <w:sz w:val="21"/>
                <w:szCs w:val="21"/>
              </w:rPr>
            </w:pPr>
            <w:r>
              <w:rPr>
                <w:rFonts w:hint="eastAsia" w:asciiTheme="minorEastAsia" w:hAnsiTheme="minorEastAsia" w:eastAsiaTheme="minorEastAsia"/>
                <w:sz w:val="21"/>
                <w:szCs w:val="21"/>
              </w:rPr>
              <w:t>有空调维保方案，出现运行故障后，及时委托专业人员在</w:t>
            </w:r>
            <w:r>
              <w:rPr>
                <w:rFonts w:asciiTheme="minorEastAsia" w:hAnsiTheme="minorEastAsia" w:eastAsiaTheme="minorEastAsia"/>
                <w:sz w:val="21"/>
                <w:szCs w:val="21"/>
              </w:rPr>
              <w:t>3小时内到达现场维修，特殊情况不得超过12个小时。</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5C4AC29">
            <w:pPr>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FDDCD8B">
            <w:pPr>
              <w:rPr>
                <w:rFonts w:asciiTheme="minorEastAsia" w:hAnsiTheme="minorEastAsia" w:eastAsiaTheme="minorEastAsia"/>
                <w:sz w:val="21"/>
                <w:szCs w:val="21"/>
              </w:rPr>
            </w:pPr>
            <w:r>
              <w:rPr>
                <w:rFonts w:hint="eastAsia" w:asciiTheme="minorEastAsia" w:hAnsiTheme="minorEastAsia" w:eastAsiaTheme="minorEastAsia"/>
                <w:sz w:val="21"/>
                <w:szCs w:val="21"/>
              </w:rPr>
              <w:t>符合</w:t>
            </w:r>
            <w:r>
              <w:rPr>
                <w:rFonts w:asciiTheme="minorEastAsia" w:hAnsiTheme="minorEastAsia" w:eastAsiaTheme="minorEastAsia"/>
                <w:sz w:val="21"/>
                <w:szCs w:val="21"/>
              </w:rPr>
              <w:t>4</w:t>
            </w:r>
            <w:r>
              <w:rPr>
                <w:rFonts w:hint="eastAsia" w:asciiTheme="minorEastAsia" w:hAnsiTheme="minorEastAsia" w:eastAsiaTheme="minorEastAsia"/>
                <w:sz w:val="21"/>
                <w:szCs w:val="21"/>
              </w:rPr>
              <w:t>分，较好2分，较差1分，不符合0分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0FA6706">
            <w:pPr>
              <w:jc w:val="center"/>
              <w:rPr>
                <w:rFonts w:asciiTheme="minorEastAsia" w:hAnsiTheme="minorEastAsia" w:eastAsiaTheme="minorEastAsia"/>
                <w:sz w:val="21"/>
                <w:szCs w:val="21"/>
              </w:rPr>
            </w:pPr>
          </w:p>
        </w:tc>
      </w:tr>
      <w:tr w14:paraId="3E21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AD92FC0">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三</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D4D1663">
            <w:pPr>
              <w:rPr>
                <w:rFonts w:asciiTheme="minorEastAsia" w:hAnsiTheme="minorEastAsia" w:eastAsiaTheme="minorEastAsia"/>
                <w:sz w:val="21"/>
                <w:szCs w:val="21"/>
              </w:rPr>
            </w:pPr>
            <w:r>
              <w:rPr>
                <w:rFonts w:hint="eastAsia" w:asciiTheme="minorEastAsia" w:hAnsiTheme="minorEastAsia" w:eastAsiaTheme="minorEastAsia"/>
                <w:sz w:val="21"/>
                <w:szCs w:val="21"/>
              </w:rPr>
              <w:t>保安及车辆管理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D2FCAB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989BB34">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4FAC128">
            <w:pPr>
              <w:jc w:val="center"/>
              <w:rPr>
                <w:rFonts w:asciiTheme="minorEastAsia" w:hAnsiTheme="minorEastAsia" w:eastAsiaTheme="minorEastAsia"/>
                <w:sz w:val="21"/>
                <w:szCs w:val="21"/>
              </w:rPr>
            </w:pPr>
          </w:p>
        </w:tc>
      </w:tr>
      <w:tr w14:paraId="1983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5FB6029">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CA01879">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w:t>
            </w:r>
            <w:r>
              <w:rPr>
                <w:rFonts w:asciiTheme="minorEastAsia" w:hAnsiTheme="minorEastAsia" w:eastAsiaTheme="minorEastAsia"/>
                <w:color w:val="000000" w:themeColor="text1"/>
                <w:sz w:val="21"/>
                <w:szCs w:val="21"/>
                <w14:textFill>
                  <w14:solidFill>
                    <w14:schemeClr w14:val="tx1"/>
                  </w14:solidFill>
                </w14:textFill>
              </w:rPr>
              <w:t>保安人员上岗佩戴统一标志，穿戴统一制服，仪容仪表规范整齐，训练有素、言语规范、认真负责、文明工作。</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04AA9FD">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CDD9CD0">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符合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分，较好</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分，较差</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0.5</w:t>
            </w:r>
            <w:r>
              <w:rPr>
                <w:rFonts w:hint="eastAsia" w:asciiTheme="minorEastAsia" w:hAnsiTheme="minorEastAsia" w:eastAsiaTheme="minorEastAsia"/>
                <w:color w:val="000000" w:themeColor="text1"/>
                <w:sz w:val="21"/>
                <w:szCs w:val="21"/>
                <w14:textFill>
                  <w14:solidFill>
                    <w14:schemeClr w14:val="tx1"/>
                  </w14:solidFill>
                </w14:textFill>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8AEFC52">
            <w:pPr>
              <w:jc w:val="center"/>
              <w:rPr>
                <w:rFonts w:asciiTheme="minorEastAsia" w:hAnsiTheme="minorEastAsia" w:eastAsiaTheme="minorEastAsia"/>
                <w:color w:val="000000" w:themeColor="text1"/>
                <w:sz w:val="21"/>
                <w:szCs w:val="21"/>
                <w14:textFill>
                  <w14:solidFill>
                    <w14:schemeClr w14:val="tx1"/>
                  </w14:solidFill>
                </w14:textFill>
              </w:rPr>
            </w:pPr>
          </w:p>
        </w:tc>
      </w:tr>
      <w:tr w14:paraId="6482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45B9E5B">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35A9F85">
            <w:pPr>
              <w:rPr>
                <w:rFonts w:asciiTheme="minorEastAsia" w:hAnsiTheme="minorEastAsia" w:eastAsiaTheme="minorEastAsia"/>
                <w:color w:val="000000" w:themeColor="text1"/>
                <w:sz w:val="21"/>
                <w:szCs w:val="21"/>
                <w14:textFill>
                  <w14:solidFill>
                    <w14:schemeClr w14:val="tx1"/>
                  </w14:solidFill>
                </w14:textFill>
              </w:rPr>
            </w:pPr>
            <w:r>
              <w:rPr>
                <w:rFonts w:cs="Arial" w:asciiTheme="minorEastAsia" w:hAnsiTheme="minorEastAsia" w:eastAsiaTheme="minorEastAsia"/>
                <w:color w:val="000000" w:themeColor="text1"/>
                <w:kern w:val="0"/>
                <w:sz w:val="21"/>
                <w:szCs w:val="21"/>
                <w14:textFill>
                  <w14:solidFill>
                    <w14:schemeClr w14:val="tx1"/>
                  </w14:solidFill>
                </w14:textFill>
              </w:rPr>
              <w:t>2</w:t>
            </w:r>
            <w:r>
              <w:rPr>
                <w:rFonts w:hint="eastAsia" w:cs="Arial" w:asciiTheme="minorEastAsia" w:hAnsiTheme="minorEastAsia" w:eastAsiaTheme="minorEastAsia"/>
                <w:color w:val="000000" w:themeColor="text1"/>
                <w:kern w:val="0"/>
                <w:sz w:val="21"/>
                <w:szCs w:val="21"/>
                <w14:textFill>
                  <w14:solidFill>
                    <w14:schemeClr w14:val="tx1"/>
                  </w14:solidFill>
                </w14:textFill>
              </w:rPr>
              <w:t>、</w:t>
            </w:r>
            <w:r>
              <w:rPr>
                <w:rFonts w:cs="Arial" w:asciiTheme="minorEastAsia" w:hAnsiTheme="minorEastAsia" w:eastAsiaTheme="minorEastAsia"/>
                <w:color w:val="000000" w:themeColor="text1"/>
                <w:kern w:val="0"/>
                <w:sz w:val="21"/>
                <w:szCs w:val="21"/>
                <w14:textFill>
                  <w14:solidFill>
                    <w14:schemeClr w14:val="tx1"/>
                  </w14:solidFill>
                </w14:textFill>
              </w:rPr>
              <w:t>实行24小时值班巡逻制度，</w:t>
            </w:r>
            <w:r>
              <w:rPr>
                <w:rFonts w:hint="eastAsia" w:cs="Arial" w:asciiTheme="minorEastAsia" w:hAnsiTheme="minorEastAsia" w:eastAsiaTheme="minorEastAsia"/>
                <w:color w:val="000000" w:themeColor="text1"/>
                <w:kern w:val="0"/>
                <w:sz w:val="21"/>
                <w:szCs w:val="21"/>
                <w14:textFill>
                  <w14:solidFill>
                    <w14:schemeClr w14:val="tx1"/>
                  </w14:solidFill>
                </w14:textFill>
              </w:rPr>
              <w:t>建立</w:t>
            </w:r>
            <w:r>
              <w:rPr>
                <w:rFonts w:cs="Arial" w:asciiTheme="minorEastAsia" w:hAnsiTheme="minorEastAsia" w:eastAsiaTheme="minorEastAsia"/>
                <w:color w:val="000000" w:themeColor="text1"/>
                <w:kern w:val="0"/>
                <w:sz w:val="21"/>
                <w:szCs w:val="21"/>
                <w14:textFill>
                  <w14:solidFill>
                    <w14:schemeClr w14:val="tx1"/>
                  </w14:solidFill>
                </w14:textFill>
              </w:rPr>
              <w:t>巡查记录</w:t>
            </w:r>
            <w:r>
              <w:rPr>
                <w:rFonts w:hint="eastAsia" w:cs="Arial" w:asciiTheme="minorEastAsia" w:hAnsiTheme="minorEastAsia" w:eastAsiaTheme="minorEastAsia"/>
                <w:color w:val="000000" w:themeColor="text1"/>
                <w:kern w:val="0"/>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对</w:t>
            </w:r>
            <w:r>
              <w:rPr>
                <w:rFonts w:hint="eastAsia" w:asciiTheme="minorEastAsia" w:hAnsiTheme="minorEastAsia" w:eastAsiaTheme="minorEastAsia"/>
                <w:color w:val="000000" w:themeColor="text1"/>
                <w:sz w:val="21"/>
                <w:szCs w:val="21"/>
                <w14:textFill>
                  <w14:solidFill>
                    <w14:schemeClr w14:val="tx1"/>
                  </w14:solidFill>
                </w14:textFill>
              </w:rPr>
              <w:t>投</w:t>
            </w:r>
            <w:r>
              <w:rPr>
                <w:rFonts w:asciiTheme="minorEastAsia" w:hAnsiTheme="minorEastAsia" w:eastAsiaTheme="minorEastAsia"/>
                <w:color w:val="000000" w:themeColor="text1"/>
                <w:sz w:val="21"/>
                <w:szCs w:val="21"/>
                <w14:textFill>
                  <w14:solidFill>
                    <w14:schemeClr w14:val="tx1"/>
                  </w14:solidFill>
                </w14:textFill>
              </w:rPr>
              <w:t>标人以外的一般外来访问、办事人员，建立询问登记制度</w:t>
            </w:r>
            <w:r>
              <w:rPr>
                <w:rFonts w:hint="eastAsia" w:asciiTheme="minorEastAsia" w:hAnsiTheme="minorEastAsia" w:eastAsiaTheme="minorEastAsia"/>
                <w:color w:val="000000" w:themeColor="text1"/>
                <w:sz w:val="21"/>
                <w:szCs w:val="21"/>
                <w14:textFill>
                  <w14:solidFill>
                    <w14:schemeClr w14:val="tx1"/>
                  </w14:solidFill>
                </w14:textFill>
              </w:rPr>
              <w:t>，拒绝商</w:t>
            </w:r>
            <w:r>
              <w:rPr>
                <w:rFonts w:asciiTheme="minorEastAsia" w:hAnsiTheme="minorEastAsia" w:eastAsiaTheme="minorEastAsia"/>
                <w:color w:val="000000" w:themeColor="text1"/>
                <w:sz w:val="21"/>
                <w:szCs w:val="21"/>
                <w14:textFill>
                  <w14:solidFill>
                    <w14:schemeClr w14:val="tx1"/>
                  </w14:solidFill>
                </w14:textFill>
              </w:rPr>
              <w:t>品推销</w:t>
            </w:r>
            <w:r>
              <w:rPr>
                <w:rFonts w:hint="eastAsia" w:asciiTheme="minorEastAsia" w:hAnsiTheme="minorEastAsia" w:eastAsiaTheme="minorEastAsia"/>
                <w:color w:val="000000" w:themeColor="text1"/>
                <w:sz w:val="21"/>
                <w:szCs w:val="21"/>
                <w14:textFill>
                  <w14:solidFill>
                    <w14:schemeClr w14:val="tx1"/>
                  </w14:solidFill>
                </w14:textFill>
              </w:rPr>
              <w:t>等</w:t>
            </w:r>
            <w:r>
              <w:rPr>
                <w:rFonts w:asciiTheme="minorEastAsia" w:hAnsiTheme="minorEastAsia" w:eastAsiaTheme="minorEastAsia"/>
                <w:color w:val="000000" w:themeColor="text1"/>
                <w:sz w:val="21"/>
                <w:szCs w:val="21"/>
                <w14:textFill>
                  <w14:solidFill>
                    <w14:schemeClr w14:val="tx1"/>
                  </w14:solidFill>
                </w14:textFill>
              </w:rPr>
              <w:t>闲杂人员入内。</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32B2735">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765677A3">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符合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分，较好</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分，较差</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0.5</w:t>
            </w:r>
            <w:r>
              <w:rPr>
                <w:rFonts w:hint="eastAsia" w:asciiTheme="minorEastAsia" w:hAnsiTheme="minorEastAsia" w:eastAsiaTheme="minorEastAsia"/>
                <w:color w:val="000000" w:themeColor="text1"/>
                <w:sz w:val="21"/>
                <w:szCs w:val="21"/>
                <w14:textFill>
                  <w14:solidFill>
                    <w14:schemeClr w14:val="tx1"/>
                  </w14:solidFill>
                </w14:textFill>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210B086A">
            <w:pPr>
              <w:jc w:val="center"/>
              <w:rPr>
                <w:rFonts w:asciiTheme="minorEastAsia" w:hAnsiTheme="minorEastAsia" w:eastAsiaTheme="minorEastAsia"/>
                <w:color w:val="000000" w:themeColor="text1"/>
                <w:sz w:val="21"/>
                <w:szCs w:val="21"/>
                <w14:textFill>
                  <w14:solidFill>
                    <w14:schemeClr w14:val="tx1"/>
                  </w14:solidFill>
                </w14:textFill>
              </w:rPr>
            </w:pPr>
          </w:p>
        </w:tc>
      </w:tr>
      <w:tr w14:paraId="5786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3C7A4A5">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9E674DF">
            <w:pPr>
              <w:rPr>
                <w:rFonts w:asciiTheme="minorEastAsia" w:hAnsiTheme="minorEastAsia" w:eastAsiaTheme="minorEastAsia"/>
                <w:color w:val="000000" w:themeColor="text1"/>
                <w:sz w:val="21"/>
                <w:szCs w:val="21"/>
                <w14:textFill>
                  <w14:solidFill>
                    <w14:schemeClr w14:val="tx1"/>
                  </w14:solidFill>
                </w14:textFill>
              </w:rPr>
            </w:pPr>
            <w:r>
              <w:rPr>
                <w:rFonts w:asciiTheme="minorEastAsia" w:hAnsiTheme="minorEastAsia" w:eastAsiaTheme="minorEastAsia"/>
                <w:color w:val="000000" w:themeColor="text1"/>
                <w:sz w:val="21"/>
                <w:szCs w:val="21"/>
                <w14:textFill>
                  <w14:solidFill>
                    <w14:schemeClr w14:val="tx1"/>
                  </w14:solidFill>
                </w14:textFill>
              </w:rPr>
              <w:t>3</w:t>
            </w: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对开标区、评标区、财务室、档案室、机房、监控室等重点部位制定并落实相应的安全防范措施。确保无重大火灾、刑事案件、交通事故及其他重大事故发生。</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B3EDE34">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1875EE25">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对特殊部位要有相应的防范措施，每发现一处无防范措施或未落实防范措施扣0.2分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76B523D">
            <w:pPr>
              <w:jc w:val="center"/>
              <w:rPr>
                <w:rFonts w:asciiTheme="minorEastAsia" w:hAnsiTheme="minorEastAsia" w:eastAsiaTheme="minorEastAsia"/>
                <w:color w:val="000000" w:themeColor="text1"/>
                <w:sz w:val="21"/>
                <w:szCs w:val="21"/>
                <w14:textFill>
                  <w14:solidFill>
                    <w14:schemeClr w14:val="tx1"/>
                  </w14:solidFill>
                </w14:textFill>
              </w:rPr>
            </w:pPr>
          </w:p>
        </w:tc>
      </w:tr>
      <w:tr w14:paraId="0B3E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F548F2A">
            <w:pPr>
              <w:jc w:val="center"/>
              <w:rPr>
                <w:rFonts w:asciiTheme="minorEastAsia" w:hAnsiTheme="minorEastAsia" w:eastAsiaTheme="minorEastAsia"/>
                <w:color w:val="000000" w:themeColor="text1"/>
                <w:sz w:val="21"/>
                <w:szCs w:val="21"/>
                <w14:textFill>
                  <w14:solidFill>
                    <w14:schemeClr w14:val="tx1"/>
                  </w14:solidFill>
                </w14:textFill>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109744A">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r>
              <w:rPr>
                <w:rFonts w:asciiTheme="minorEastAsia" w:hAnsiTheme="minorEastAsia" w:eastAsiaTheme="minorEastAsia"/>
                <w:color w:val="000000" w:themeColor="text1"/>
                <w:sz w:val="21"/>
                <w:szCs w:val="21"/>
                <w14:textFill>
                  <w14:solidFill>
                    <w14:schemeClr w14:val="tx1"/>
                  </w14:solidFill>
                </w14:textFill>
              </w:rPr>
              <w:t>对突发事件有应急处理计划和措施，必要时及时报警，防止事态进一步恶化，协助保护现场。定期组织培训、演习，提高保安人员应急反应及处理突发事件能力。</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49B3FED">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AC75276">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符合</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olor w:val="000000" w:themeColor="text1"/>
                <w:sz w:val="21"/>
                <w:szCs w:val="21"/>
                <w14:textFill>
                  <w14:solidFill>
                    <w14:schemeClr w14:val="tx1"/>
                  </w14:solidFill>
                </w14:textFill>
              </w:rPr>
              <w:t>分，较好</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olor w:val="000000" w:themeColor="text1"/>
                <w:sz w:val="21"/>
                <w:szCs w:val="21"/>
                <w14:textFill>
                  <w14:solidFill>
                    <w14:schemeClr w14:val="tx1"/>
                  </w14:solidFill>
                </w14:textFill>
              </w:rPr>
              <w:t>分，较差</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0.5</w:t>
            </w:r>
            <w:r>
              <w:rPr>
                <w:rFonts w:hint="eastAsia" w:asciiTheme="minorEastAsia" w:hAnsiTheme="minorEastAsia" w:eastAsiaTheme="minorEastAsia"/>
                <w:color w:val="000000" w:themeColor="text1"/>
                <w:sz w:val="21"/>
                <w:szCs w:val="21"/>
                <w14:textFill>
                  <w14:solidFill>
                    <w14:schemeClr w14:val="tx1"/>
                  </w14:solidFill>
                </w14:textFill>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003CDB6">
            <w:pPr>
              <w:jc w:val="center"/>
              <w:rPr>
                <w:rFonts w:asciiTheme="minorEastAsia" w:hAnsiTheme="minorEastAsia" w:eastAsiaTheme="minorEastAsia"/>
                <w:color w:val="000000" w:themeColor="text1"/>
                <w:sz w:val="21"/>
                <w:szCs w:val="21"/>
                <w14:textFill>
                  <w14:solidFill>
                    <w14:schemeClr w14:val="tx1"/>
                  </w14:solidFill>
                </w14:textFill>
              </w:rPr>
            </w:pPr>
          </w:p>
        </w:tc>
      </w:tr>
      <w:tr w14:paraId="1CF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25483E2">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ACFDEB9">
            <w:pPr>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停车场管理有序，机动车辆和非机动车辆管理制度完善，管理责任明确，各种车辆按指定区域停放。</w:t>
            </w:r>
          </w:p>
          <w:p w14:paraId="242F0CB8">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停车场内卫生：道路、车棚、设备等日常清理，做到目视干净，无纸屑、果壳等垃圾杂物；及时清理雨水管落水口、排水沟内的泥沙、杂物、落叶、杂草等，保持排水通畅；定期对场内树木、花草进行修剪。</w:t>
            </w:r>
          </w:p>
          <w:p w14:paraId="38EA903C">
            <w:pPr>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停车场管理规范服务：服务人员实行文明、礼貌服务，不得擅自脱岗；对出入停车场车辆做好引导工作，态度温和，语言文明；引导进出停车场车辆有序通行停放，非新能源汽车占用充电车位要劝离；车场设备若遇停电等紧急故障，现场人员需手动抬杆，并及时上报邻嘉城运公司维修，车主充电离场后，充电桩未归位等简单故障帮助处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F2AB7E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292E500">
            <w:pP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符合</w:t>
            </w:r>
            <w:r>
              <w:rPr>
                <w:rFonts w:hint="eastAsia" w:asciiTheme="minorEastAsia" w:hAnsiTheme="minorEastAsia" w:eastAsiaTheme="minorEastAsia"/>
                <w:sz w:val="21"/>
                <w:szCs w:val="21"/>
                <w:lang w:val="en-US" w:eastAsia="zh-CN"/>
              </w:rPr>
              <w:t>10</w:t>
            </w:r>
            <w:r>
              <w:rPr>
                <w:rFonts w:hint="eastAsia" w:asciiTheme="minorEastAsia" w:hAnsiTheme="minorEastAsia" w:eastAsiaTheme="minorEastAsia"/>
                <w:sz w:val="21"/>
                <w:szCs w:val="21"/>
              </w:rPr>
              <w:t>分，基本符合</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B025FB1">
            <w:pPr>
              <w:jc w:val="center"/>
              <w:rPr>
                <w:rFonts w:asciiTheme="minorEastAsia" w:hAnsiTheme="minorEastAsia" w:eastAsiaTheme="minorEastAsia"/>
                <w:sz w:val="21"/>
                <w:szCs w:val="21"/>
              </w:rPr>
            </w:pPr>
          </w:p>
        </w:tc>
      </w:tr>
      <w:tr w14:paraId="19CD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28E8A9B">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4B89BD57">
            <w:pP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w:t>
            </w:r>
            <w:r>
              <w:rPr>
                <w:rFonts w:asciiTheme="minorEastAsia" w:hAnsiTheme="minorEastAsia" w:eastAsiaTheme="minorEastAsia"/>
                <w:sz w:val="21"/>
                <w:szCs w:val="21"/>
              </w:rPr>
              <w:t>其它与安全保卫、交通、车辆、停车场有关事项。</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43159DB7">
            <w:pPr>
              <w:jc w:val="center"/>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0E5FC4AE">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DA6A4EE">
            <w:pPr>
              <w:jc w:val="center"/>
              <w:rPr>
                <w:rFonts w:asciiTheme="minorEastAsia" w:hAnsiTheme="minorEastAsia" w:eastAsiaTheme="minorEastAsia"/>
                <w:sz w:val="21"/>
                <w:szCs w:val="21"/>
              </w:rPr>
            </w:pPr>
          </w:p>
        </w:tc>
      </w:tr>
      <w:tr w14:paraId="7665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DF78D2">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val="en-US" w:eastAsia="zh-CN"/>
              </w:rPr>
              <w:t>四</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6CF4396E">
            <w:pPr>
              <w:rPr>
                <w:rFonts w:asciiTheme="minorEastAsia" w:hAnsiTheme="minorEastAsia" w:eastAsiaTheme="minorEastAsia"/>
                <w:sz w:val="21"/>
                <w:szCs w:val="21"/>
              </w:rPr>
            </w:pPr>
            <w:r>
              <w:rPr>
                <w:rFonts w:hint="eastAsia" w:asciiTheme="minorEastAsia" w:hAnsiTheme="minorEastAsia" w:eastAsiaTheme="minorEastAsia"/>
                <w:sz w:val="21"/>
                <w:szCs w:val="21"/>
              </w:rPr>
              <w:t>环境卫生管理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23F8592">
            <w:pPr>
              <w:jc w:val="center"/>
              <w:rPr>
                <w:rFonts w:asciiTheme="minorEastAsia" w:hAnsiTheme="minorEastAsia" w:eastAsiaTheme="minorEastAsia"/>
                <w:sz w:val="21"/>
                <w:szCs w:val="21"/>
              </w:rPr>
            </w:pPr>
            <w:r>
              <w:rPr>
                <w:rFonts w:asciiTheme="minorEastAsia" w:hAnsiTheme="minorEastAsia" w:eastAsiaTheme="minorEastAsia"/>
                <w:sz w:val="21"/>
                <w:szCs w:val="21"/>
              </w:rPr>
              <w:t>30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75E56937">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7A439D22">
            <w:pPr>
              <w:jc w:val="center"/>
              <w:rPr>
                <w:rFonts w:asciiTheme="minorEastAsia" w:hAnsiTheme="minorEastAsia" w:eastAsiaTheme="minorEastAsia"/>
                <w:sz w:val="21"/>
                <w:szCs w:val="21"/>
              </w:rPr>
            </w:pPr>
          </w:p>
        </w:tc>
      </w:tr>
      <w:tr w14:paraId="7379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9128F8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37AEB536">
            <w:pPr>
              <w:rPr>
                <w:rFonts w:asciiTheme="minorEastAsia" w:hAnsiTheme="minorEastAsia" w:eastAsiaTheme="minorEastAsia"/>
                <w:sz w:val="21"/>
                <w:szCs w:val="21"/>
              </w:rPr>
            </w:pPr>
            <w:r>
              <w:rPr>
                <w:rFonts w:hint="eastAsia" w:asciiTheme="minorEastAsia" w:hAnsiTheme="minorEastAsia" w:eastAsiaTheme="minorEastAsia"/>
                <w:sz w:val="21"/>
                <w:szCs w:val="21"/>
              </w:rPr>
              <w:t>1、清洁卫生实行责任制，有专职的清洁人员和明确的责任范围，实行标准化保洁，保洁人员应至少有一人驻点，满足及时清理开标场所杂物需求。</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5A2CCF4E">
            <w:pPr>
              <w:jc w:val="cente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57BB77C0">
            <w:pPr>
              <w:rPr>
                <w:rFonts w:asciiTheme="minorEastAsia" w:hAnsiTheme="minorEastAsia" w:eastAsiaTheme="minorEastAsia"/>
                <w:sz w:val="21"/>
                <w:szCs w:val="21"/>
              </w:rPr>
            </w:pPr>
            <w:r>
              <w:rPr>
                <w:rFonts w:hint="eastAsia" w:asciiTheme="minorEastAsia" w:hAnsiTheme="minorEastAsia" w:eastAsiaTheme="minorEastAsia"/>
                <w:sz w:val="21"/>
                <w:szCs w:val="21"/>
              </w:rPr>
              <w:t>未实行责任制扣1分，无专职人员和责任范围的扣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分，未实行标准化保洁的扣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52B0C7B6">
            <w:pPr>
              <w:jc w:val="center"/>
              <w:rPr>
                <w:rFonts w:asciiTheme="minorEastAsia" w:hAnsiTheme="minorEastAsia" w:eastAsiaTheme="minorEastAsia"/>
                <w:sz w:val="21"/>
                <w:szCs w:val="21"/>
              </w:rPr>
            </w:pPr>
          </w:p>
        </w:tc>
      </w:tr>
      <w:tr w14:paraId="72A2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C79C62F">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7E108EF">
            <w:pPr>
              <w:rPr>
                <w:rFonts w:asciiTheme="minorEastAsia" w:hAnsiTheme="minorEastAsia" w:eastAsiaTheme="minorEastAsia"/>
                <w:sz w:val="21"/>
                <w:szCs w:val="21"/>
              </w:rPr>
            </w:pPr>
            <w:r>
              <w:rPr>
                <w:rFonts w:hint="eastAsia" w:asciiTheme="minorEastAsia" w:hAnsiTheme="minorEastAsia" w:eastAsiaTheme="minorEastAsia"/>
                <w:sz w:val="21"/>
                <w:szCs w:val="21"/>
              </w:rPr>
              <w:t>2、环卫设施设备完善，垃圾做到日产日清，开标场地随时清理。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862EC7E">
            <w:pPr>
              <w:jc w:val="center"/>
              <w:rPr>
                <w:rFonts w:asciiTheme="minorEastAsia" w:hAnsiTheme="minorEastAsia" w:eastAsiaTheme="minorEastAsia"/>
                <w:sz w:val="21"/>
                <w:szCs w:val="21"/>
              </w:rPr>
            </w:pPr>
            <w:r>
              <w:rPr>
                <w:rFonts w:asciiTheme="minorEastAsia" w:hAnsiTheme="minorEastAsia" w:eastAsiaTheme="minorEastAsia"/>
                <w:sz w:val="21"/>
                <w:szCs w:val="21"/>
              </w:rPr>
              <w:t>20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B9F1793">
            <w:pPr>
              <w:rPr>
                <w:rFonts w:asciiTheme="minorEastAsia" w:hAnsiTheme="minorEastAsia" w:eastAsiaTheme="minorEastAsia"/>
                <w:sz w:val="21"/>
                <w:szCs w:val="21"/>
              </w:rPr>
            </w:pPr>
            <w:r>
              <w:rPr>
                <w:rFonts w:hint="eastAsia" w:asciiTheme="minorEastAsia" w:hAnsiTheme="minorEastAsia" w:eastAsiaTheme="minorEastAsia"/>
                <w:sz w:val="21"/>
                <w:szCs w:val="21"/>
              </w:rPr>
              <w:t>环卫设施设备不完善扣1分，处理垃圾未达到日产日清等标准要求的每项扣</w:t>
            </w:r>
            <w:r>
              <w:rPr>
                <w:rFonts w:asciiTheme="minorEastAsia" w:hAnsiTheme="minorEastAsia" w:eastAsiaTheme="minorEastAsia"/>
                <w:sz w:val="21"/>
                <w:szCs w:val="21"/>
              </w:rPr>
              <w:t>2</w:t>
            </w:r>
            <w:r>
              <w:rPr>
                <w:rFonts w:hint="eastAsia" w:asciiTheme="minorEastAsia" w:hAnsiTheme="minorEastAsia" w:eastAsiaTheme="minorEastAsia"/>
                <w:sz w:val="21"/>
                <w:szCs w:val="21"/>
              </w:rPr>
              <w:t>分（详见《室内外保洁考核清单</w:t>
            </w:r>
            <w:r>
              <w:rPr>
                <w:rFonts w:asciiTheme="minorEastAsia" w:hAnsiTheme="minorEastAsia" w:eastAsiaTheme="minorEastAsia"/>
                <w:sz w:val="21"/>
                <w:szCs w:val="21"/>
              </w:rPr>
              <w:t>》）</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4EA9FAE">
            <w:pPr>
              <w:jc w:val="center"/>
              <w:rPr>
                <w:rFonts w:asciiTheme="minorEastAsia" w:hAnsiTheme="minorEastAsia" w:eastAsiaTheme="minorEastAsia"/>
                <w:sz w:val="21"/>
                <w:szCs w:val="21"/>
              </w:rPr>
            </w:pPr>
          </w:p>
        </w:tc>
      </w:tr>
      <w:tr w14:paraId="5DD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86A8F7B">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5C703655">
            <w:pPr>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r>
              <w:rPr>
                <w:rFonts w:asciiTheme="minorEastAsia" w:hAnsiTheme="minorEastAsia" w:eastAsiaTheme="minorEastAsia"/>
                <w:sz w:val="21"/>
                <w:szCs w:val="21"/>
              </w:rPr>
              <w:t>按照市城管局要求，做好垃圾分类的基础工作，包括基础台帐的建立。</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06D56A4B">
            <w:pPr>
              <w:jc w:val="center"/>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651DDBC">
            <w:pPr>
              <w:rPr>
                <w:rFonts w:asciiTheme="minorEastAsia" w:hAnsiTheme="minorEastAsia" w:eastAsiaTheme="minorEastAsia"/>
                <w:sz w:val="21"/>
                <w:szCs w:val="21"/>
              </w:rPr>
            </w:pPr>
            <w:r>
              <w:rPr>
                <w:rFonts w:hint="eastAsia" w:asciiTheme="minorEastAsia" w:hAnsiTheme="minorEastAsia" w:eastAsiaTheme="minorEastAsia"/>
                <w:sz w:val="21"/>
                <w:szCs w:val="21"/>
              </w:rPr>
              <w:t>完成较好得6分，每发现一处不符合扣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分，因工作不到位被通报每次扣</w:t>
            </w:r>
            <w:r>
              <w:rPr>
                <w:rFonts w:asciiTheme="minorEastAsia" w:hAnsiTheme="minorEastAsia" w:eastAsiaTheme="minorEastAsia"/>
                <w:sz w:val="21"/>
                <w:szCs w:val="21"/>
              </w:rPr>
              <w:t>1</w:t>
            </w:r>
            <w:r>
              <w:rPr>
                <w:rFonts w:hint="eastAsia" w:asciiTheme="minorEastAsia" w:hAnsiTheme="minorEastAsia" w:eastAsiaTheme="minorEastAsia"/>
                <w:sz w:val="21"/>
                <w:szCs w:val="21"/>
              </w:rPr>
              <w:t>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1D74D8F">
            <w:pPr>
              <w:jc w:val="center"/>
              <w:rPr>
                <w:rFonts w:asciiTheme="minorEastAsia" w:hAnsiTheme="minorEastAsia" w:eastAsiaTheme="minorEastAsia"/>
                <w:sz w:val="21"/>
                <w:szCs w:val="21"/>
              </w:rPr>
            </w:pPr>
          </w:p>
        </w:tc>
      </w:tr>
      <w:tr w14:paraId="0821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560FD9">
            <w:pPr>
              <w:jc w:val="center"/>
              <w:rPr>
                <w:rFonts w:hint="eastAsia" w:asciiTheme="minorEastAsia" w:hAnsiTheme="minorEastAsia" w:eastAsiaTheme="minorEastAsia"/>
                <w:sz w:val="21"/>
                <w:szCs w:val="21"/>
                <w:lang w:val="en-US" w:eastAsia="zh-CN"/>
              </w:rPr>
            </w:pPr>
            <w:r>
              <w:rPr>
                <w:rFonts w:hint="eastAsia" w:asciiTheme="minorEastAsia" w:hAnsiTheme="minorEastAsia"/>
                <w:sz w:val="21"/>
                <w:szCs w:val="21"/>
                <w:lang w:val="en-US" w:eastAsia="zh-CN"/>
              </w:rPr>
              <w:t>五</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CC491E1">
            <w:pPr>
              <w:rPr>
                <w:rFonts w:asciiTheme="minorEastAsia" w:hAnsiTheme="minorEastAsia" w:eastAsiaTheme="minorEastAsia"/>
                <w:sz w:val="21"/>
                <w:szCs w:val="21"/>
              </w:rPr>
            </w:pPr>
            <w:r>
              <w:rPr>
                <w:rFonts w:hint="eastAsia" w:asciiTheme="minorEastAsia" w:hAnsiTheme="minorEastAsia" w:eastAsiaTheme="minorEastAsia"/>
                <w:sz w:val="21"/>
                <w:szCs w:val="21"/>
              </w:rPr>
              <w:t>绿化管理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198223E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8F2C504">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6B996CEF">
            <w:pPr>
              <w:jc w:val="center"/>
              <w:rPr>
                <w:rFonts w:asciiTheme="minorEastAsia" w:hAnsiTheme="minorEastAsia" w:eastAsiaTheme="minorEastAsia"/>
                <w:sz w:val="21"/>
                <w:szCs w:val="21"/>
              </w:rPr>
            </w:pPr>
          </w:p>
        </w:tc>
      </w:tr>
      <w:tr w14:paraId="7E86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ACF42C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157B2BD6">
            <w:pPr>
              <w:rPr>
                <w:rFonts w:asciiTheme="minorEastAsia" w:hAnsiTheme="minorEastAsia" w:eastAsiaTheme="minorEastAsia"/>
                <w:sz w:val="21"/>
                <w:szCs w:val="21"/>
              </w:rPr>
            </w:pPr>
            <w:r>
              <w:rPr>
                <w:rFonts w:hint="eastAsia" w:asciiTheme="minorEastAsia" w:hAnsiTheme="minorEastAsia" w:eastAsiaTheme="minorEastAsia"/>
                <w:sz w:val="21"/>
                <w:szCs w:val="21"/>
              </w:rPr>
              <w:t>有绿化管理措施并落实，花草树木长势很好，修剪整齐美观，绿地无纸屑、烟头、石块等废弃物。</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C7E4B69">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6875458">
            <w:pPr>
              <w:rPr>
                <w:rFonts w:asciiTheme="minorEastAsia" w:hAnsiTheme="minorEastAsia" w:eastAsiaTheme="minorEastAsia"/>
                <w:sz w:val="21"/>
                <w:szCs w:val="21"/>
              </w:rPr>
            </w:pPr>
            <w:r>
              <w:rPr>
                <w:rFonts w:hint="eastAsia" w:asciiTheme="minorEastAsia" w:hAnsiTheme="minorEastAsia" w:eastAsiaTheme="minorEastAsia"/>
                <w:sz w:val="21"/>
                <w:szCs w:val="21"/>
              </w:rPr>
              <w:t>符合</w:t>
            </w: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分，无措施扣0.5分，有措施但落实不力扣0.5分，每发现一处长势不好或有纸屑等废弃物的扣0.2分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443F73C3">
            <w:pPr>
              <w:jc w:val="center"/>
              <w:rPr>
                <w:rFonts w:asciiTheme="minorEastAsia" w:hAnsiTheme="minorEastAsia" w:eastAsiaTheme="minorEastAsia"/>
                <w:sz w:val="21"/>
                <w:szCs w:val="21"/>
              </w:rPr>
            </w:pPr>
          </w:p>
        </w:tc>
      </w:tr>
      <w:tr w14:paraId="2129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E487835">
            <w:pPr>
              <w:jc w:val="center"/>
              <w:rPr>
                <w:rFonts w:hint="eastAsia" w:asciiTheme="minorEastAsia" w:hAnsiTheme="minorEastAsia" w:eastAsiaTheme="minorEastAsia"/>
                <w:sz w:val="21"/>
                <w:szCs w:val="21"/>
                <w:lang w:eastAsia="zh-CN"/>
              </w:rPr>
            </w:pPr>
            <w:r>
              <w:rPr>
                <w:rFonts w:hint="eastAsia" w:asciiTheme="minorEastAsia" w:hAnsiTheme="minorEastAsia"/>
                <w:sz w:val="21"/>
                <w:szCs w:val="21"/>
                <w:lang w:eastAsia="zh-CN"/>
              </w:rPr>
              <w:t>六</w:t>
            </w: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FDED4A4">
            <w:pPr>
              <w:rPr>
                <w:rFonts w:asciiTheme="minorEastAsia" w:hAnsiTheme="minorEastAsia" w:eastAsiaTheme="minorEastAsia"/>
                <w:sz w:val="21"/>
                <w:szCs w:val="21"/>
              </w:rPr>
            </w:pPr>
            <w:r>
              <w:rPr>
                <w:rFonts w:hint="eastAsia" w:asciiTheme="minorEastAsia" w:hAnsiTheme="minorEastAsia" w:eastAsiaTheme="minorEastAsia"/>
                <w:sz w:val="21"/>
                <w:szCs w:val="21"/>
              </w:rPr>
              <w:t>其他服务</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6F9EA8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15</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36CE7CC7">
            <w:pPr>
              <w:rPr>
                <w:rFonts w:asciiTheme="minorEastAsia" w:hAnsiTheme="minorEastAsia" w:eastAsiaTheme="minorEastAsia"/>
                <w:sz w:val="21"/>
                <w:szCs w:val="21"/>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8D80712">
            <w:pPr>
              <w:jc w:val="center"/>
              <w:rPr>
                <w:rFonts w:asciiTheme="minorEastAsia" w:hAnsiTheme="minorEastAsia" w:eastAsiaTheme="minorEastAsia"/>
                <w:sz w:val="21"/>
                <w:szCs w:val="21"/>
              </w:rPr>
            </w:pPr>
          </w:p>
        </w:tc>
      </w:tr>
      <w:tr w14:paraId="606B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0CEEEBD">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FE259BF">
            <w:pPr>
              <w:rPr>
                <w:rFonts w:asciiTheme="minorEastAsia" w:hAnsiTheme="minorEastAsia" w:eastAsiaTheme="minorEastAsia"/>
                <w:sz w:val="21"/>
                <w:szCs w:val="21"/>
              </w:rPr>
            </w:pPr>
            <w:r>
              <w:rPr>
                <w:rFonts w:hint="eastAsia" w:asciiTheme="minorEastAsia" w:hAnsiTheme="minorEastAsia" w:eastAsiaTheme="minorEastAsia"/>
                <w:sz w:val="21"/>
                <w:szCs w:val="21"/>
              </w:rPr>
              <w:t>1、委派专人做好现场辅助服务工作</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9B284E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0</w:t>
            </w:r>
            <w:r>
              <w:rPr>
                <w:rFonts w:hint="eastAsia" w:asciiTheme="minorEastAsia" w:hAnsiTheme="minorEastAsia" w:eastAsiaTheme="minorEastAsia"/>
                <w:sz w:val="21"/>
                <w:szCs w:val="21"/>
              </w:rPr>
              <w:t>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E3D6FA6">
            <w:pPr>
              <w:rPr>
                <w:rFonts w:asciiTheme="minorEastAsia" w:hAnsiTheme="minorEastAsia" w:eastAsiaTheme="minorEastAsia"/>
                <w:sz w:val="21"/>
                <w:szCs w:val="21"/>
              </w:rPr>
            </w:pPr>
            <w:r>
              <w:rPr>
                <w:rFonts w:hint="eastAsia" w:asciiTheme="minorEastAsia" w:hAnsiTheme="minorEastAsia" w:eastAsiaTheme="minorEastAsia"/>
                <w:sz w:val="21"/>
                <w:szCs w:val="21"/>
              </w:rPr>
              <w:t>根据使用部门建立的考核细则折算本项得分。（本</w:t>
            </w:r>
            <w:r>
              <w:rPr>
                <w:rFonts w:asciiTheme="minorEastAsia" w:hAnsiTheme="minorEastAsia" w:eastAsiaTheme="minorEastAsia"/>
                <w:sz w:val="21"/>
                <w:szCs w:val="21"/>
              </w:rPr>
              <w:t>条</w:t>
            </w:r>
            <w:r>
              <w:rPr>
                <w:rFonts w:hint="eastAsia" w:asciiTheme="minorEastAsia" w:hAnsiTheme="minorEastAsia" w:eastAsiaTheme="minorEastAsia"/>
                <w:sz w:val="21"/>
                <w:szCs w:val="21"/>
              </w:rPr>
              <w:t>是市</w:t>
            </w:r>
            <w:r>
              <w:rPr>
                <w:rFonts w:asciiTheme="minorEastAsia" w:hAnsiTheme="minorEastAsia" w:eastAsiaTheme="minorEastAsia"/>
                <w:sz w:val="21"/>
                <w:szCs w:val="21"/>
              </w:rPr>
              <w:t>公共资源交易中心对物业公司的考核内容，其他</w:t>
            </w:r>
            <w:r>
              <w:rPr>
                <w:rFonts w:hint="eastAsia" w:asciiTheme="minorEastAsia" w:hAnsiTheme="minorEastAsia" w:eastAsiaTheme="minorEastAsia"/>
                <w:sz w:val="21"/>
                <w:szCs w:val="21"/>
              </w:rPr>
              <w:t>业</w:t>
            </w:r>
            <w:r>
              <w:rPr>
                <w:rFonts w:asciiTheme="minorEastAsia" w:hAnsiTheme="minorEastAsia" w:eastAsiaTheme="minorEastAsia"/>
                <w:sz w:val="21"/>
                <w:szCs w:val="21"/>
              </w:rPr>
              <w:t>主根据需要调整）</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2C2E67A">
            <w:pPr>
              <w:jc w:val="center"/>
              <w:rPr>
                <w:rFonts w:asciiTheme="minorEastAsia" w:hAnsiTheme="minorEastAsia" w:eastAsiaTheme="minorEastAsia"/>
                <w:sz w:val="21"/>
                <w:szCs w:val="21"/>
              </w:rPr>
            </w:pPr>
          </w:p>
        </w:tc>
      </w:tr>
      <w:tr w14:paraId="4DE3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8985E01">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7716F266">
            <w:pPr>
              <w:rPr>
                <w:rFonts w:asciiTheme="minorEastAsia" w:hAnsiTheme="minorEastAsia" w:eastAsiaTheme="minorEastAsia"/>
                <w:sz w:val="21"/>
                <w:szCs w:val="21"/>
              </w:rPr>
            </w:pPr>
            <w:r>
              <w:rPr>
                <w:rFonts w:hint="eastAsia" w:asciiTheme="minorEastAsia" w:hAnsiTheme="minorEastAsia" w:eastAsiaTheme="minorEastAsia"/>
                <w:sz w:val="21"/>
                <w:szCs w:val="21"/>
              </w:rPr>
              <w:t>2、会务服务符合业主要求，会前保洁，会中茶水服务，会后清场工作达到标准</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63FE092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ED8340E">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138C6DC">
            <w:pPr>
              <w:jc w:val="center"/>
              <w:rPr>
                <w:rFonts w:asciiTheme="minorEastAsia" w:hAnsiTheme="minorEastAsia" w:eastAsiaTheme="minorEastAsia"/>
                <w:sz w:val="21"/>
                <w:szCs w:val="21"/>
              </w:rPr>
            </w:pPr>
          </w:p>
        </w:tc>
      </w:tr>
      <w:tr w14:paraId="42D5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02B60D6">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5D0F7A2">
            <w:pPr>
              <w:rPr>
                <w:rFonts w:asciiTheme="minorEastAsia" w:hAnsiTheme="minorEastAsia" w:eastAsiaTheme="minorEastAsia"/>
                <w:sz w:val="21"/>
                <w:szCs w:val="21"/>
              </w:rPr>
            </w:pPr>
            <w:r>
              <w:rPr>
                <w:rFonts w:hint="eastAsia" w:asciiTheme="minorEastAsia" w:hAnsiTheme="minorEastAsia" w:eastAsiaTheme="minorEastAsia"/>
                <w:sz w:val="21"/>
                <w:szCs w:val="21"/>
              </w:rPr>
              <w:t>3、建立（水电）能耗登记制度，做好记录，按时代缴、</w:t>
            </w:r>
            <w:r>
              <w:rPr>
                <w:rFonts w:asciiTheme="minorEastAsia" w:hAnsiTheme="minorEastAsia" w:eastAsiaTheme="minorEastAsia"/>
                <w:sz w:val="21"/>
                <w:szCs w:val="21"/>
              </w:rPr>
              <w:t>结</w:t>
            </w:r>
            <w:r>
              <w:rPr>
                <w:rFonts w:hint="eastAsia" w:asciiTheme="minorEastAsia" w:hAnsiTheme="minorEastAsia" w:eastAsiaTheme="minorEastAsia"/>
                <w:sz w:val="21"/>
                <w:szCs w:val="21"/>
              </w:rPr>
              <w:t>算水电费</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754B6E45">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66695C3A">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0F8B1073">
            <w:pPr>
              <w:jc w:val="center"/>
              <w:rPr>
                <w:rFonts w:asciiTheme="minorEastAsia" w:hAnsiTheme="minorEastAsia" w:eastAsiaTheme="minorEastAsia"/>
                <w:sz w:val="21"/>
                <w:szCs w:val="21"/>
              </w:rPr>
            </w:pPr>
          </w:p>
        </w:tc>
      </w:tr>
      <w:tr w14:paraId="7466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8E999F9">
            <w:pPr>
              <w:jc w:val="center"/>
              <w:rPr>
                <w:rFonts w:asciiTheme="minorEastAsia" w:hAnsiTheme="minorEastAsia" w:eastAsiaTheme="minorEastAsia"/>
                <w:sz w:val="21"/>
                <w:szCs w:val="21"/>
              </w:rPr>
            </w:pPr>
          </w:p>
        </w:tc>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2C4F9C03">
            <w:pPr>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w:t>
            </w:r>
            <w:r>
              <w:rPr>
                <w:rFonts w:asciiTheme="minorEastAsia" w:hAnsiTheme="minorEastAsia" w:eastAsiaTheme="minorEastAsia"/>
                <w:sz w:val="21"/>
                <w:szCs w:val="21"/>
              </w:rPr>
              <w:t>做好报纸分发、快递签收保管</w:t>
            </w:r>
            <w:r>
              <w:rPr>
                <w:rFonts w:hint="eastAsia" w:asciiTheme="minorEastAsia" w:hAnsiTheme="minorEastAsia" w:eastAsiaTheme="minorEastAsia"/>
                <w:sz w:val="21"/>
                <w:szCs w:val="21"/>
              </w:rPr>
              <w:t>和业主安排的其他临时性</w:t>
            </w:r>
            <w:r>
              <w:rPr>
                <w:rFonts w:asciiTheme="minorEastAsia" w:hAnsiTheme="minorEastAsia" w:eastAsiaTheme="minorEastAsia"/>
                <w:sz w:val="21"/>
                <w:szCs w:val="21"/>
              </w:rPr>
              <w:t>工作。</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28BD5BA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2分</w:t>
            </w:r>
          </w:p>
        </w:tc>
        <w:tc>
          <w:tcPr>
            <w:tcW w:w="2869" w:type="dxa"/>
            <w:tcBorders>
              <w:top w:val="single" w:color="auto" w:sz="4" w:space="0"/>
              <w:left w:val="single" w:color="auto" w:sz="4" w:space="0"/>
              <w:bottom w:val="single" w:color="auto" w:sz="4" w:space="0"/>
              <w:right w:val="single" w:color="auto" w:sz="4" w:space="0"/>
            </w:tcBorders>
            <w:shd w:val="clear" w:color="auto" w:fill="auto"/>
            <w:vAlign w:val="center"/>
          </w:tcPr>
          <w:p w14:paraId="488D4C16">
            <w:pPr>
              <w:rPr>
                <w:rFonts w:asciiTheme="minorEastAsia" w:hAnsiTheme="minorEastAsia" w:eastAsiaTheme="minorEastAsia"/>
                <w:sz w:val="21"/>
                <w:szCs w:val="21"/>
              </w:rPr>
            </w:pPr>
            <w:r>
              <w:rPr>
                <w:rFonts w:hint="eastAsia" w:asciiTheme="minorEastAsia" w:hAnsiTheme="minorEastAsia" w:eastAsiaTheme="minorEastAsia"/>
                <w:sz w:val="21"/>
                <w:szCs w:val="21"/>
              </w:rPr>
              <w:t>符合2分，基本符合1分，不符合0分</w:t>
            </w: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CC91C4E">
            <w:pPr>
              <w:jc w:val="center"/>
              <w:rPr>
                <w:rFonts w:asciiTheme="minorEastAsia" w:hAnsiTheme="minorEastAsia" w:eastAsiaTheme="minorEastAsia"/>
                <w:sz w:val="21"/>
                <w:szCs w:val="21"/>
              </w:rPr>
            </w:pPr>
          </w:p>
        </w:tc>
      </w:tr>
    </w:tbl>
    <w:p w14:paraId="7ED68EB2">
      <w:pPr>
        <w:snapToGrid w:val="0"/>
        <w:ind w:firstLine="525" w:firstLineChars="250"/>
        <w:rPr>
          <w:rFonts w:cs="仿宋_GB2312" w:asciiTheme="minorEastAsia" w:hAnsiTheme="minorEastAsia" w:eastAsiaTheme="minorEastAsia"/>
          <w:color w:val="000000"/>
          <w:sz w:val="21"/>
          <w:szCs w:val="21"/>
        </w:rPr>
      </w:pPr>
    </w:p>
    <w:p w14:paraId="770A5A23">
      <w:pPr>
        <w:snapToGrid w:val="0"/>
        <w:ind w:firstLine="525" w:firstLineChars="25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注：业主</w:t>
      </w:r>
      <w:r>
        <w:rPr>
          <w:rFonts w:hint="eastAsia" w:cs="仿宋_GB2312" w:asciiTheme="minorEastAsia" w:hAnsiTheme="minorEastAsia"/>
          <w:color w:val="000000"/>
          <w:sz w:val="21"/>
          <w:szCs w:val="21"/>
          <w:lang w:eastAsia="zh-CN"/>
        </w:rPr>
        <w:t>（</w:t>
      </w:r>
      <w:r>
        <w:rPr>
          <w:rFonts w:hint="eastAsia" w:cs="仿宋_GB2312" w:asciiTheme="minorEastAsia" w:hAnsiTheme="minorEastAsia"/>
          <w:color w:val="000000"/>
          <w:sz w:val="21"/>
          <w:szCs w:val="21"/>
          <w:lang w:val="en-US" w:eastAsia="zh-CN"/>
        </w:rPr>
        <w:t>市公共资源交易中心会同市公共资源交易监督管理局</w:t>
      </w:r>
      <w:r>
        <w:rPr>
          <w:rFonts w:hint="eastAsia" w:cs="仿宋_GB2312" w:asciiTheme="minorEastAsia" w:hAnsiTheme="minorEastAsia"/>
          <w:color w:val="000000"/>
          <w:sz w:val="21"/>
          <w:szCs w:val="21"/>
          <w:lang w:eastAsia="zh-CN"/>
        </w:rPr>
        <w:t>）</w:t>
      </w:r>
      <w:r>
        <w:rPr>
          <w:rFonts w:hint="eastAsia" w:cs="仿宋_GB2312" w:asciiTheme="minorEastAsia" w:hAnsiTheme="minorEastAsia" w:eastAsiaTheme="minorEastAsia"/>
          <w:color w:val="000000"/>
          <w:sz w:val="21"/>
          <w:szCs w:val="21"/>
        </w:rPr>
        <w:t>每月对物业管理工作及其服务质量进行一次检查，采取扣分法进行服务考核、评分，评分结果作为对物业管理工作质量的奖惩依据。单次考核得分在85分以上的，不奖不罚； 80分以下，每降一分，扣除当月物业服务费的100元／分，责令限期整顿，整改后仍达不到要求或者连续2个月考核80分以下的，向监管部门通报并要求解除合同。</w:t>
      </w:r>
    </w:p>
    <w:p w14:paraId="0E8EDB18">
      <w:pPr>
        <w:pageBreakBefore w:val="0"/>
        <w:kinsoku/>
        <w:overflowPunct/>
        <w:topLinePunct w:val="0"/>
        <w:bidi w:val="0"/>
        <w:adjustRightInd w:val="0"/>
        <w:snapToGrid w:val="0"/>
        <w:spacing w:after="0" w:line="360" w:lineRule="auto"/>
        <w:ind w:firstLine="437"/>
        <w:textAlignment w:val="auto"/>
        <w:rPr>
          <w:rFonts w:ascii="宋体" w:hAnsi="宋体" w:eastAsia="宋体"/>
          <w:bCs/>
          <w:color w:val="auto"/>
          <w:sz w:val="24"/>
          <w:szCs w:val="18"/>
          <w:highlight w:val="none"/>
        </w:rPr>
      </w:pPr>
    </w:p>
    <w:p w14:paraId="2403AB10">
      <w:pPr>
        <w:pageBreakBefore w:val="0"/>
        <w:kinsoku/>
        <w:overflowPunct/>
        <w:topLinePunct w:val="0"/>
        <w:bidi w:val="0"/>
        <w:adjustRightInd w:val="0"/>
        <w:snapToGrid w:val="0"/>
        <w:spacing w:after="0" w:line="360" w:lineRule="auto"/>
        <w:ind w:firstLine="480" w:firstLineChars="200"/>
        <w:textAlignment w:val="auto"/>
        <w:rPr>
          <w:rFonts w:ascii="宋体" w:hAnsi="宋体" w:eastAsia="宋体"/>
          <w:color w:val="auto"/>
          <w:sz w:val="24"/>
          <w:highlight w:val="none"/>
        </w:rPr>
      </w:pPr>
    </w:p>
    <w:p w14:paraId="0EBC77E5">
      <w:pPr>
        <w:pageBreakBefore w:val="0"/>
        <w:kinsoku/>
        <w:overflowPunct/>
        <w:topLinePunct w:val="0"/>
        <w:bidi w:val="0"/>
        <w:adjustRightInd w:val="0"/>
        <w:snapToGrid w:val="0"/>
        <w:spacing w:after="0" w:line="360" w:lineRule="auto"/>
        <w:ind w:firstLine="562" w:firstLineChars="200"/>
        <w:textAlignment w:val="auto"/>
        <w:rPr>
          <w:rFonts w:hint="eastAsia" w:ascii="宋体" w:hAnsi="宋体" w:eastAsia="宋体"/>
          <w:b/>
          <w:color w:val="auto"/>
          <w:sz w:val="28"/>
          <w:highlight w:val="none"/>
        </w:rPr>
      </w:pPr>
    </w:p>
    <w:p w14:paraId="3A396568">
      <w:pPr>
        <w:pageBreakBefore w:val="0"/>
        <w:kinsoku/>
        <w:overflowPunct/>
        <w:topLinePunct w:val="0"/>
        <w:bidi w:val="0"/>
        <w:adjustRightInd w:val="0"/>
        <w:snapToGrid w:val="0"/>
        <w:spacing w:after="0" w:line="360" w:lineRule="auto"/>
        <w:textAlignment w:val="auto"/>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472542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Arial"/>
          <w:color w:val="auto"/>
          <w:kern w:val="2"/>
          <w:sz w:val="24"/>
          <w:highlight w:val="none"/>
          <w:lang w:val="en-US" w:eastAsia="zh-CN" w:bidi="ar-SA"/>
        </w:rPr>
      </w:pPr>
    </w:p>
    <w:p w14:paraId="4B4F4A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b/>
          <w:color w:val="auto"/>
          <w:sz w:val="28"/>
          <w:highlight w:val="none"/>
        </w:rPr>
      </w:pPr>
      <w:r>
        <w:rPr>
          <w:rFonts w:hint="eastAsia" w:ascii="宋体" w:hAnsi="宋体" w:eastAsia="宋体"/>
          <w:color w:val="auto"/>
          <w:sz w:val="24"/>
          <w:highlight w:val="none"/>
          <w:lang w:val="en-US" w:eastAsia="zh-CN"/>
        </w:rPr>
        <w:t xml:space="preserve">     </w:t>
      </w:r>
      <w:r>
        <w:rPr>
          <w:rFonts w:hint="eastAsia" w:ascii="宋体" w:hAnsi="宋体" w:eastAsia="宋体"/>
          <w:b/>
          <w:color w:val="auto"/>
          <w:sz w:val="28"/>
          <w:highlight w:val="none"/>
        </w:rPr>
        <w:t>第四章  评标方法和标准（</w:t>
      </w:r>
      <w:r>
        <w:rPr>
          <w:rFonts w:hint="eastAsia" w:ascii="宋体" w:hAnsi="宋体" w:eastAsia="宋体"/>
          <w:b/>
          <w:color w:val="auto"/>
          <w:sz w:val="28"/>
          <w:highlight w:val="none"/>
          <w:lang w:eastAsia="zh-CN"/>
        </w:rPr>
        <w:t>综合</w:t>
      </w:r>
      <w:r>
        <w:rPr>
          <w:rFonts w:hint="eastAsia" w:ascii="宋体" w:hAnsi="宋体" w:eastAsia="宋体"/>
          <w:b/>
          <w:color w:val="auto"/>
          <w:sz w:val="28"/>
          <w:highlight w:val="none"/>
        </w:rPr>
        <w:t>评</w:t>
      </w:r>
      <w:r>
        <w:rPr>
          <w:rFonts w:hint="eastAsia" w:ascii="宋体" w:hAnsi="宋体" w:eastAsia="宋体"/>
          <w:b/>
          <w:color w:val="auto"/>
          <w:sz w:val="28"/>
          <w:highlight w:val="none"/>
          <w:lang w:eastAsia="zh-CN"/>
        </w:rPr>
        <w:t>分</w:t>
      </w:r>
      <w:r>
        <w:rPr>
          <w:rFonts w:hint="eastAsia" w:ascii="宋体" w:hAnsi="宋体" w:eastAsia="宋体"/>
          <w:b/>
          <w:color w:val="auto"/>
          <w:sz w:val="28"/>
          <w:highlight w:val="none"/>
        </w:rPr>
        <w:t>法）</w:t>
      </w:r>
    </w:p>
    <w:p w14:paraId="7CEC5F5D">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highlight w:val="none"/>
        </w:rPr>
      </w:pPr>
    </w:p>
    <w:p w14:paraId="6647DE7F">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1"/>
        <w:rPr>
          <w:rFonts w:ascii="宋体" w:hAnsi="宋体" w:eastAsia="宋体"/>
          <w:b/>
          <w:color w:val="auto"/>
          <w:sz w:val="24"/>
          <w:highlight w:val="none"/>
        </w:rPr>
      </w:pPr>
      <w:r>
        <w:rPr>
          <w:rFonts w:hint="eastAsia" w:ascii="宋体" w:hAnsi="宋体" w:eastAsia="宋体"/>
          <w:b/>
          <w:color w:val="auto"/>
          <w:sz w:val="24"/>
          <w:highlight w:val="none"/>
        </w:rPr>
        <w:t>一、总则</w:t>
      </w:r>
    </w:p>
    <w:p w14:paraId="07325E4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本项目将按照招标文件第二章投标人须知的相关要求</w:t>
      </w:r>
      <w:r>
        <w:rPr>
          <w:rFonts w:ascii="宋体" w:hAnsi="宋体" w:eastAsia="宋体"/>
          <w:color w:val="auto"/>
          <w:sz w:val="24"/>
          <w:highlight w:val="none"/>
        </w:rPr>
        <w:t>及本章的规定评标。</w:t>
      </w:r>
    </w:p>
    <w:p w14:paraId="214CFE1A">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评标方法</w:t>
      </w:r>
    </w:p>
    <w:p w14:paraId="19B7BBC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0"/>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74"/>
        <w:gridCol w:w="1902"/>
      </w:tblGrid>
      <w:tr w14:paraId="4105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703FDA2">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b/>
                <w:color w:val="auto"/>
                <w:kern w:val="2"/>
                <w:sz w:val="24"/>
                <w:szCs w:val="22"/>
                <w:highlight w:val="none"/>
                <w:lang w:eastAsia="zh-CN"/>
              </w:rPr>
              <w:t>资格审查表</w:t>
            </w:r>
          </w:p>
        </w:tc>
      </w:tr>
      <w:tr w14:paraId="4E8F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E5703C1">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序号</w:t>
            </w:r>
          </w:p>
        </w:tc>
        <w:tc>
          <w:tcPr>
            <w:tcW w:w="939" w:type="pct"/>
            <w:tcBorders>
              <w:bottom w:val="single" w:color="auto" w:sz="4" w:space="0"/>
            </w:tcBorders>
            <w:vAlign w:val="center"/>
          </w:tcPr>
          <w:p w14:paraId="0403A019">
            <w:pPr>
              <w:pageBreakBefore w:val="0"/>
              <w:widowControl w:val="0"/>
              <w:pBdr>
                <w:bottom w:val="none" w:color="auto" w:sz="0" w:space="0"/>
              </w:pBdr>
              <w:kinsoku/>
              <w:overflowPunct/>
              <w:topLinePunct w:val="0"/>
              <w:bidi w:val="0"/>
              <w:adjustRightInd w:val="0"/>
              <w:snapToGrid w:val="0"/>
              <w:spacing w:after="0" w:line="360" w:lineRule="auto"/>
              <w:ind w:right="-10"/>
              <w:jc w:val="center"/>
              <w:textAlignment w:val="auto"/>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审查因素</w:t>
            </w:r>
          </w:p>
        </w:tc>
        <w:tc>
          <w:tcPr>
            <w:tcW w:w="2602" w:type="pct"/>
            <w:tcBorders>
              <w:bottom w:val="single" w:color="auto" w:sz="4" w:space="0"/>
            </w:tcBorders>
            <w:vAlign w:val="center"/>
          </w:tcPr>
          <w:p w14:paraId="7D5E406A">
            <w:pPr>
              <w:pageBreakBefore w:val="0"/>
              <w:kinsoku/>
              <w:overflowPunct/>
              <w:topLinePunct w:val="0"/>
              <w:bidi w:val="0"/>
              <w:adjustRightInd w:val="0"/>
              <w:snapToGrid w:val="0"/>
              <w:spacing w:after="0" w:line="360" w:lineRule="auto"/>
              <w:ind w:right="-10"/>
              <w:jc w:val="center"/>
              <w:textAlignment w:val="auto"/>
              <w:rPr>
                <w:rFonts w:hint="default" w:ascii="宋体" w:hAnsi="宋体" w:eastAsia="宋体" w:cs="@仿宋_GB2312"/>
                <w:color w:val="auto"/>
                <w:kern w:val="2"/>
                <w:sz w:val="24"/>
                <w:szCs w:val="20"/>
                <w:highlight w:val="none"/>
                <w:lang w:val="en-US" w:eastAsia="zh-CN"/>
              </w:rPr>
            </w:pPr>
            <w:r>
              <w:rPr>
                <w:rFonts w:hint="eastAsia" w:ascii="宋体" w:hAnsi="宋体" w:eastAsia="宋体" w:cs="@仿宋_GB2312"/>
                <w:color w:val="auto"/>
                <w:kern w:val="2"/>
                <w:sz w:val="24"/>
                <w:szCs w:val="20"/>
                <w:highlight w:val="none"/>
                <w:lang w:val="en-US" w:eastAsia="zh-CN"/>
              </w:rPr>
              <w:t>审查内容</w:t>
            </w:r>
          </w:p>
        </w:tc>
        <w:tc>
          <w:tcPr>
            <w:tcW w:w="1080" w:type="pct"/>
            <w:tcBorders>
              <w:bottom w:val="single" w:color="auto" w:sz="4" w:space="0"/>
            </w:tcBorders>
            <w:vAlign w:val="center"/>
          </w:tcPr>
          <w:p w14:paraId="019D81E6">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格式要求</w:t>
            </w:r>
          </w:p>
        </w:tc>
      </w:tr>
      <w:tr w14:paraId="2FFC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77" w:type="pct"/>
            <w:tcBorders>
              <w:bottom w:val="single" w:color="auto" w:sz="4" w:space="0"/>
            </w:tcBorders>
            <w:vAlign w:val="center"/>
          </w:tcPr>
          <w:p w14:paraId="24B3FB34">
            <w:pPr>
              <w:pageBreakBefore w:val="0"/>
              <w:kinsoku/>
              <w:overflowPunct/>
              <w:topLinePunct w:val="0"/>
              <w:bidi w:val="0"/>
              <w:adjustRightInd w:val="0"/>
              <w:snapToGrid w:val="0"/>
              <w:spacing w:after="0" w:line="360" w:lineRule="auto"/>
              <w:ind w:right="-10" w:rightChars="0"/>
              <w:jc w:val="center"/>
              <w:textAlignment w:val="auto"/>
              <w:rPr>
                <w:rFonts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eastAsia="zh-CN"/>
              </w:rPr>
              <w:t>1</w:t>
            </w:r>
          </w:p>
        </w:tc>
        <w:tc>
          <w:tcPr>
            <w:tcW w:w="939" w:type="pct"/>
            <w:tcBorders>
              <w:bottom w:val="single" w:color="auto" w:sz="4" w:space="0"/>
            </w:tcBorders>
            <w:vAlign w:val="center"/>
          </w:tcPr>
          <w:p w14:paraId="3DD4C0BA">
            <w:pPr>
              <w:pageBreakBefore w:val="0"/>
              <w:kinsoku/>
              <w:overflowPunct/>
              <w:topLinePunct w:val="0"/>
              <w:bidi w:val="0"/>
              <w:adjustRightInd w:val="0"/>
              <w:snapToGrid w:val="0"/>
              <w:spacing w:after="0" w:line="360" w:lineRule="auto"/>
              <w:ind w:right="-10" w:rightChars="0"/>
              <w:jc w:val="center"/>
              <w:textAlignment w:val="auto"/>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kern w:val="2"/>
                <w:sz w:val="24"/>
                <w:szCs w:val="24"/>
                <w:lang w:eastAsia="zh-CN"/>
              </w:rPr>
              <w:t>营业执照等证明</w:t>
            </w:r>
            <w:r>
              <w:rPr>
                <w:rFonts w:ascii="宋体" w:hAnsi="宋体" w:eastAsia="宋体" w:cs="宋体"/>
                <w:color w:val="auto"/>
                <w:spacing w:val="-3"/>
                <w:kern w:val="2"/>
                <w:sz w:val="24"/>
                <w:szCs w:val="24"/>
                <w:lang w:eastAsia="zh-CN"/>
              </w:rPr>
              <w:t>文件</w:t>
            </w:r>
          </w:p>
        </w:tc>
        <w:tc>
          <w:tcPr>
            <w:tcW w:w="2602" w:type="pct"/>
            <w:tcBorders>
              <w:bottom w:val="single" w:color="auto" w:sz="4" w:space="0"/>
            </w:tcBorders>
            <w:vAlign w:val="center"/>
          </w:tcPr>
          <w:p w14:paraId="5C696A47">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投标人为企业（包括合伙企业）的，应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供有效的营业执照；</w:t>
            </w:r>
          </w:p>
          <w:p w14:paraId="23779D19">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投标人为事业单位的，应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供有效的事业单位法人证书；</w:t>
            </w:r>
          </w:p>
          <w:p w14:paraId="5CBBC91E">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投标人是非企业机构的，应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供有效的执业许可证</w:t>
            </w:r>
            <w:r>
              <w:rPr>
                <w:rFonts w:hint="eastAsia" w:ascii="宋体" w:hAnsi="宋体" w:eastAsia="宋体" w:cs="宋体"/>
                <w:color w:val="auto"/>
                <w:kern w:val="2"/>
                <w:sz w:val="24"/>
                <w:szCs w:val="24"/>
                <w:lang w:val="en-US" w:eastAsia="zh-CN"/>
              </w:rPr>
              <w:t>或</w:t>
            </w:r>
            <w:r>
              <w:rPr>
                <w:rFonts w:ascii="宋体" w:hAnsi="宋体" w:eastAsia="宋体" w:cs="宋体"/>
                <w:color w:val="auto"/>
                <w:kern w:val="2"/>
                <w:sz w:val="24"/>
                <w:szCs w:val="24"/>
                <w:lang w:eastAsia="zh-CN"/>
              </w:rPr>
              <w:t>登记证书等证明文件；</w:t>
            </w:r>
          </w:p>
          <w:p w14:paraId="3EA85AB9">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投标人是个体工商户的，应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供有效的个体工商户营业执照；</w:t>
            </w:r>
          </w:p>
          <w:p w14:paraId="09E3DE95">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5</w:t>
            </w:r>
            <w:r>
              <w:rPr>
                <w:rFonts w:hint="eastAsia" w:ascii="宋体" w:hAnsi="宋体" w:eastAsia="宋体" w:cs="宋体"/>
                <w:color w:val="auto"/>
                <w:kern w:val="2"/>
                <w:sz w:val="24"/>
                <w:szCs w:val="24"/>
                <w:lang w:eastAsia="zh-CN"/>
              </w:rPr>
              <w:t>）</w:t>
            </w:r>
            <w:r>
              <w:rPr>
                <w:rFonts w:ascii="宋体" w:hAnsi="宋体" w:eastAsia="宋体" w:cs="宋体"/>
                <w:color w:val="auto"/>
                <w:kern w:val="2"/>
                <w:sz w:val="24"/>
                <w:szCs w:val="24"/>
                <w:lang w:eastAsia="zh-CN"/>
              </w:rPr>
              <w:t>投标人是自然人的，应</w:t>
            </w: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供有效的自然人身份证明。</w:t>
            </w:r>
          </w:p>
          <w:p w14:paraId="26D016EE">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6</w:t>
            </w:r>
            <w:r>
              <w:rPr>
                <w:rFonts w:hint="eastAsia" w:ascii="宋体" w:hAnsi="宋体" w:eastAsia="宋体" w:cs="宋体"/>
                <w:color w:val="auto"/>
                <w:kern w:val="2"/>
                <w:sz w:val="24"/>
                <w:szCs w:val="24"/>
                <w:lang w:eastAsia="zh-CN"/>
              </w:rPr>
              <w:t>）对于银行、保险、石油石化、电力、电信等行业的分公司参加投标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080" w:type="pct"/>
            <w:vAlign w:val="center"/>
          </w:tcPr>
          <w:p w14:paraId="3BD169A6">
            <w:pPr>
              <w:pageBreakBefore w:val="0"/>
              <w:kinsoku/>
              <w:overflowPunct/>
              <w:topLinePunct w:val="0"/>
              <w:bidi w:val="0"/>
              <w:adjustRightInd w:val="0"/>
              <w:snapToGrid w:val="0"/>
              <w:spacing w:after="0" w:line="360" w:lineRule="auto"/>
              <w:jc w:val="left"/>
              <w:textAlignment w:val="auto"/>
              <w:rPr>
                <w:rFonts w:ascii="宋体" w:hAnsi="宋体" w:eastAsia="宋体" w:cs="@仿宋_GB2312"/>
                <w:color w:val="auto"/>
                <w:kern w:val="2"/>
                <w:sz w:val="24"/>
                <w:szCs w:val="20"/>
                <w:highlight w:val="none"/>
                <w:lang w:val="en-US" w:eastAsia="zh-CN" w:bidi="ar-SA"/>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提供</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材料</w:t>
            </w:r>
            <w:r>
              <w:rPr>
                <w:rFonts w:hint="eastAsia" w:ascii="宋体" w:hAnsi="宋体" w:eastAsia="宋体"/>
                <w:color w:val="000000" w:themeColor="text1"/>
                <w:kern w:val="2"/>
                <w:highlight w:val="none"/>
                <w:lang w:eastAsia="zh-CN"/>
                <w14:textFill>
                  <w14:solidFill>
                    <w14:schemeClr w14:val="tx1"/>
                  </w14:solidFill>
                </w14:textFill>
              </w:rPr>
              <w:t>复印或扫描打印件（加盖投标单位公章）</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，应完整的体现出</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材</w:t>
            </w:r>
            <w:r>
              <w:rPr>
                <w:rFonts w:hint="eastAsia" w:ascii="宋体" w:hAnsi="宋体" w:eastAsia="宋体" w:cs="宋体"/>
                <w:b w:val="0"/>
                <w:bCs w:val="0"/>
                <w:color w:val="auto"/>
                <w:kern w:val="2"/>
                <w:sz w:val="24"/>
                <w:szCs w:val="24"/>
                <w:highlight w:val="none"/>
                <w:lang w:val="en-US" w:eastAsia="zh-CN"/>
              </w:rPr>
              <w:t>料</w:t>
            </w:r>
            <w:r>
              <w:rPr>
                <w:rFonts w:hint="eastAsia" w:ascii="宋体" w:hAnsi="宋体" w:eastAsia="宋体" w:cs="宋体"/>
                <w:b w:val="0"/>
                <w:bCs w:val="0"/>
                <w:color w:val="auto"/>
                <w:kern w:val="2"/>
                <w:sz w:val="24"/>
                <w:szCs w:val="24"/>
                <w:highlight w:val="none"/>
                <w:lang w:eastAsia="zh-CN"/>
              </w:rPr>
              <w:t>全部内容。联合体投标的联合体各方均须提供。</w:t>
            </w:r>
          </w:p>
        </w:tc>
      </w:tr>
      <w:tr w14:paraId="5FCD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7B9470FE">
            <w:pPr>
              <w:pageBreakBefore w:val="0"/>
              <w:kinsoku/>
              <w:overflowPunct/>
              <w:topLinePunct w:val="0"/>
              <w:bidi w:val="0"/>
              <w:adjustRightInd w:val="0"/>
              <w:snapToGrid w:val="0"/>
              <w:spacing w:after="0" w:line="360" w:lineRule="auto"/>
              <w:ind w:right="-10" w:rightChars="0"/>
              <w:jc w:val="center"/>
              <w:textAlignment w:val="auto"/>
              <w:rPr>
                <w:rFonts w:hint="eastAsia" w:ascii="宋体" w:hAnsi="宋体" w:eastAsia="宋体" w:cs="@仿宋_GB2312"/>
                <w:color w:val="auto"/>
                <w:kern w:val="2"/>
                <w:sz w:val="24"/>
                <w:szCs w:val="20"/>
                <w:highlight w:val="none"/>
                <w:lang w:val="en-US" w:eastAsia="zh-CN"/>
              </w:rPr>
            </w:pPr>
            <w:r>
              <w:rPr>
                <w:rFonts w:hint="eastAsia" w:ascii="宋体" w:hAnsi="宋体" w:eastAsia="宋体" w:cs="@仿宋_GB2312"/>
                <w:color w:val="auto"/>
                <w:kern w:val="2"/>
                <w:sz w:val="24"/>
                <w:szCs w:val="20"/>
                <w:highlight w:val="none"/>
                <w:lang w:val="en-US" w:eastAsia="zh-CN"/>
              </w:rPr>
              <w:t>2</w:t>
            </w:r>
          </w:p>
        </w:tc>
        <w:tc>
          <w:tcPr>
            <w:tcW w:w="939" w:type="pct"/>
            <w:tcBorders>
              <w:bottom w:val="single" w:color="auto" w:sz="4" w:space="0"/>
            </w:tcBorders>
            <w:vAlign w:val="center"/>
          </w:tcPr>
          <w:p w14:paraId="3B161F25">
            <w:pPr>
              <w:pageBreakBefore w:val="0"/>
              <w:kinsoku/>
              <w:overflowPunct/>
              <w:topLinePunct w:val="0"/>
              <w:bidi w:val="0"/>
              <w:adjustRightInd w:val="0"/>
              <w:snapToGrid w:val="0"/>
              <w:spacing w:after="0" w:line="360" w:lineRule="auto"/>
              <w:ind w:right="-10" w:rightChars="0"/>
              <w:jc w:val="center"/>
              <w:textAlignment w:val="auto"/>
              <w:rPr>
                <w:rFonts w:hint="default" w:ascii="宋体" w:hAnsi="宋体" w:eastAsia="宋体" w:cs="@仿宋_GB2312"/>
                <w:color w:val="auto"/>
                <w:kern w:val="2"/>
                <w:sz w:val="24"/>
                <w:szCs w:val="28"/>
                <w:highlight w:val="none"/>
                <w:lang w:val="en-US" w:eastAsia="zh-CN"/>
              </w:rPr>
            </w:pPr>
            <w:r>
              <w:rPr>
                <w:rFonts w:hint="eastAsia" w:ascii="宋体" w:hAnsi="宋体" w:eastAsia="宋体" w:cs="@仿宋_GB2312"/>
                <w:color w:val="auto"/>
                <w:kern w:val="2"/>
                <w:sz w:val="24"/>
                <w:szCs w:val="18"/>
                <w:highlight w:val="none"/>
                <w:lang w:val="en-US" w:eastAsia="zh-CN"/>
              </w:rPr>
              <w:t>投标人资格声明书</w:t>
            </w:r>
          </w:p>
        </w:tc>
        <w:tc>
          <w:tcPr>
            <w:tcW w:w="2602" w:type="pct"/>
            <w:tcBorders>
              <w:bottom w:val="single" w:color="auto" w:sz="4" w:space="0"/>
            </w:tcBorders>
            <w:vAlign w:val="center"/>
          </w:tcPr>
          <w:p w14:paraId="6746989A">
            <w:pPr>
              <w:pageBreakBefore w:val="0"/>
              <w:kinsoku/>
              <w:overflowPunct/>
              <w:topLinePunct w:val="0"/>
              <w:bidi w:val="0"/>
              <w:adjustRightInd w:val="0"/>
              <w:snapToGrid w:val="0"/>
              <w:spacing w:after="0" w:line="360" w:lineRule="auto"/>
              <w:ind w:right="-10" w:rightChars="0"/>
              <w:jc w:val="left"/>
              <w:textAlignment w:val="auto"/>
              <w:rPr>
                <w:rFonts w:hint="eastAsia" w:ascii="宋体" w:hAnsi="宋体" w:eastAsia="宋体" w:cs="@仿宋_GB2312"/>
                <w:color w:val="auto"/>
                <w:kern w:val="2"/>
                <w:sz w:val="24"/>
                <w:szCs w:val="28"/>
                <w:highlight w:val="none"/>
                <w:lang w:eastAsia="zh-CN"/>
              </w:rPr>
            </w:pPr>
            <w:r>
              <w:rPr>
                <w:rFonts w:hint="eastAsia" w:ascii="宋体" w:hAnsi="宋体" w:eastAsia="宋体" w:cs="宋体"/>
                <w:color w:val="auto"/>
                <w:kern w:val="2"/>
                <w:sz w:val="24"/>
                <w:szCs w:val="24"/>
                <w:lang w:val="en-US" w:eastAsia="zh-CN"/>
              </w:rPr>
              <w:t>提</w:t>
            </w:r>
            <w:r>
              <w:rPr>
                <w:rFonts w:ascii="宋体" w:hAnsi="宋体" w:eastAsia="宋体" w:cs="宋体"/>
                <w:color w:val="auto"/>
                <w:kern w:val="2"/>
                <w:sz w:val="24"/>
                <w:szCs w:val="24"/>
                <w:lang w:eastAsia="zh-CN"/>
              </w:rPr>
              <w:t>供符合招标文件要求的《投标人资格声明书》</w:t>
            </w:r>
            <w:r>
              <w:rPr>
                <w:rFonts w:hint="eastAsia" w:ascii="宋体" w:hAnsi="宋体" w:eastAsia="宋体" w:cs="宋体"/>
                <w:color w:val="auto"/>
                <w:kern w:val="2"/>
                <w:sz w:val="24"/>
                <w:szCs w:val="24"/>
                <w:lang w:eastAsia="zh-CN"/>
              </w:rPr>
              <w:t>。</w:t>
            </w:r>
          </w:p>
        </w:tc>
        <w:tc>
          <w:tcPr>
            <w:tcW w:w="1080" w:type="pct"/>
            <w:vAlign w:val="center"/>
          </w:tcPr>
          <w:p w14:paraId="1B9A4EDC">
            <w:pPr>
              <w:pageBreakBefore w:val="0"/>
              <w:kinsoku/>
              <w:overflowPunct/>
              <w:topLinePunct w:val="0"/>
              <w:bidi w:val="0"/>
              <w:adjustRightInd w:val="0"/>
              <w:snapToGrid w:val="0"/>
              <w:spacing w:after="0" w:line="360" w:lineRule="auto"/>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仿宋_GB2312"/>
                <w:color w:val="auto"/>
                <w:kern w:val="2"/>
                <w:sz w:val="24"/>
                <w:szCs w:val="20"/>
                <w:highlight w:val="none"/>
                <w:lang w:eastAsia="zh-CN"/>
              </w:rPr>
              <w:t>详见第六章投标文件格式。</w:t>
            </w:r>
          </w:p>
        </w:tc>
      </w:tr>
      <w:tr w14:paraId="3B63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1B5B9E5">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s="@仿宋_GB2312"/>
                <w:color w:val="auto"/>
                <w:kern w:val="2"/>
                <w:sz w:val="24"/>
                <w:szCs w:val="20"/>
                <w:highlight w:val="none"/>
                <w:lang w:val="en-US" w:eastAsia="zh-CN"/>
              </w:rPr>
            </w:pPr>
            <w:r>
              <w:rPr>
                <w:rFonts w:hint="eastAsia" w:ascii="宋体" w:hAnsi="宋体" w:eastAsia="宋体" w:cs="@仿宋_GB2312"/>
                <w:color w:val="auto"/>
                <w:kern w:val="2"/>
                <w:sz w:val="24"/>
                <w:szCs w:val="20"/>
                <w:highlight w:val="none"/>
                <w:lang w:val="en-US" w:eastAsia="zh-CN"/>
              </w:rPr>
              <w:t>3</w:t>
            </w:r>
          </w:p>
        </w:tc>
        <w:tc>
          <w:tcPr>
            <w:tcW w:w="939" w:type="pct"/>
            <w:tcBorders>
              <w:bottom w:val="single" w:color="auto" w:sz="4" w:space="0"/>
            </w:tcBorders>
            <w:vAlign w:val="center"/>
          </w:tcPr>
          <w:p w14:paraId="4DD53626">
            <w:pPr>
              <w:pageBreakBefore w:val="0"/>
              <w:kinsoku/>
              <w:overflowPunct/>
              <w:topLinePunct w:val="0"/>
              <w:bidi w:val="0"/>
              <w:adjustRightInd w:val="0"/>
              <w:snapToGrid w:val="0"/>
              <w:spacing w:after="0" w:line="360" w:lineRule="auto"/>
              <w:ind w:right="-10"/>
              <w:jc w:val="center"/>
              <w:textAlignment w:val="auto"/>
              <w:rPr>
                <w:rFonts w:ascii="宋体" w:hAnsi="宋体" w:eastAsia="宋体" w:cs="@仿宋_GB2312"/>
                <w:color w:val="auto"/>
                <w:kern w:val="2"/>
                <w:sz w:val="24"/>
                <w:szCs w:val="28"/>
                <w:highlight w:val="none"/>
                <w:lang w:eastAsia="zh-CN"/>
              </w:rPr>
            </w:pPr>
            <w:r>
              <w:rPr>
                <w:rFonts w:hint="eastAsia" w:ascii="宋体" w:hAnsi="宋体" w:eastAsia="宋体" w:cs="宋体"/>
                <w:color w:val="auto"/>
                <w:kern w:val="2"/>
                <w:sz w:val="24"/>
                <w:szCs w:val="24"/>
                <w:highlight w:val="none"/>
                <w:lang w:eastAsia="zh-CN"/>
              </w:rPr>
              <w:t>投标人信用记录</w:t>
            </w:r>
          </w:p>
        </w:tc>
        <w:tc>
          <w:tcPr>
            <w:tcW w:w="2602" w:type="pct"/>
            <w:tcBorders>
              <w:bottom w:val="single" w:color="auto" w:sz="4" w:space="0"/>
            </w:tcBorders>
            <w:vAlign w:val="center"/>
          </w:tcPr>
          <w:p w14:paraId="271AC7CE">
            <w:pPr>
              <w:pageBreakBefore w:val="0"/>
              <w:kinsoku/>
              <w:overflowPunct/>
              <w:topLinePunct w:val="0"/>
              <w:bidi w:val="0"/>
              <w:adjustRightInd w:val="0"/>
              <w:snapToGrid w:val="0"/>
              <w:spacing w:after="0" w:line="360" w:lineRule="auto"/>
              <w:ind w:right="-10" w:rightChars="0"/>
              <w:jc w:val="left"/>
              <w:textAlignment w:val="auto"/>
              <w:rPr>
                <w:rFonts w:ascii="@仿宋_GB2312" w:hAnsi="@仿宋_GB2312" w:eastAsia="@仿宋_GB2312" w:cs="@仿宋_GB2312"/>
                <w:color w:val="auto"/>
                <w:kern w:val="2"/>
                <w:sz w:val="21"/>
                <w:szCs w:val="20"/>
                <w:lang w:eastAsia="zh-CN"/>
              </w:rPr>
            </w:pPr>
            <w:r>
              <w:rPr>
                <w:rFonts w:hint="eastAsia" w:ascii="宋体" w:hAnsi="宋体" w:eastAsia="宋体" w:cs="宋体"/>
                <w:color w:val="auto"/>
                <w:kern w:val="2"/>
                <w:sz w:val="24"/>
                <w:szCs w:val="24"/>
                <w:lang w:val="zh-CN" w:eastAsia="zh-CN"/>
              </w:rPr>
              <w:t>投标人不得存在投标人须知正文</w:t>
            </w:r>
            <w:r>
              <w:rPr>
                <w:rFonts w:hint="eastAsia" w:ascii="宋体" w:hAnsi="宋体" w:eastAsia="宋体" w:cs="宋体"/>
                <w:color w:val="auto"/>
                <w:kern w:val="2"/>
                <w:sz w:val="24"/>
                <w:szCs w:val="24"/>
                <w:lang w:val="en-US" w:eastAsia="zh-CN"/>
              </w:rPr>
              <w:t>中</w:t>
            </w:r>
            <w:r>
              <w:rPr>
                <w:rFonts w:hint="eastAsia" w:ascii="宋体" w:hAnsi="宋体" w:eastAsia="宋体" w:cs="宋体"/>
                <w:color w:val="auto"/>
                <w:kern w:val="2"/>
                <w:sz w:val="24"/>
                <w:szCs w:val="24"/>
                <w:lang w:val="zh-CN" w:eastAsia="zh-CN"/>
              </w:rPr>
              <w:t>的不良信用记录情形</w:t>
            </w:r>
          </w:p>
        </w:tc>
        <w:tc>
          <w:tcPr>
            <w:tcW w:w="1080" w:type="pct"/>
            <w:tcBorders>
              <w:bottom w:val="single" w:color="auto" w:sz="4" w:space="0"/>
            </w:tcBorders>
            <w:vAlign w:val="center"/>
          </w:tcPr>
          <w:p w14:paraId="1CE5A6E5">
            <w:pPr>
              <w:pageBreakBefore w:val="0"/>
              <w:kinsoku/>
              <w:overflowPunct/>
              <w:topLinePunct w:val="0"/>
              <w:bidi w:val="0"/>
              <w:adjustRightInd w:val="0"/>
              <w:snapToGrid w:val="0"/>
              <w:spacing w:after="0" w:line="360" w:lineRule="auto"/>
              <w:jc w:val="left"/>
              <w:textAlignment w:val="auto"/>
              <w:rPr>
                <w:rFonts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kern w:val="2"/>
                <w:sz w:val="24"/>
                <w:szCs w:val="24"/>
                <w:lang w:eastAsia="zh-CN"/>
              </w:rPr>
              <w:t>无须投标人</w:t>
            </w:r>
            <w:r>
              <w:rPr>
                <w:rFonts w:hint="eastAsia" w:ascii="宋体" w:hAnsi="宋体" w:eastAsia="宋体" w:cs="宋体"/>
                <w:color w:val="auto"/>
                <w:kern w:val="2"/>
                <w:sz w:val="24"/>
                <w:szCs w:val="24"/>
                <w:lang w:val="en-US" w:eastAsia="zh-CN"/>
              </w:rPr>
              <w:t>提</w:t>
            </w:r>
            <w:r>
              <w:rPr>
                <w:rFonts w:hint="eastAsia" w:ascii="宋体" w:hAnsi="宋体" w:eastAsia="宋体" w:cs="宋体"/>
                <w:color w:val="auto"/>
                <w:kern w:val="2"/>
                <w:sz w:val="24"/>
                <w:szCs w:val="24"/>
                <w:lang w:eastAsia="zh-CN"/>
              </w:rPr>
              <w:t>供，由采购人或采购代理机构查询。</w:t>
            </w:r>
          </w:p>
        </w:tc>
      </w:tr>
      <w:tr w14:paraId="2DBB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25DAC8BE">
            <w:pPr>
              <w:pageBreakBefore w:val="0"/>
              <w:kinsoku/>
              <w:overflowPunct/>
              <w:topLinePunct w:val="0"/>
              <w:bidi w:val="0"/>
              <w:adjustRightInd w:val="0"/>
              <w:snapToGrid w:val="0"/>
              <w:spacing w:after="0" w:line="360" w:lineRule="auto"/>
              <w:ind w:right="-10" w:rightChars="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rPr>
              <w:t>4</w:t>
            </w:r>
          </w:p>
        </w:tc>
        <w:tc>
          <w:tcPr>
            <w:tcW w:w="939" w:type="pct"/>
            <w:tcBorders>
              <w:bottom w:val="single" w:color="auto" w:sz="4" w:space="0"/>
            </w:tcBorders>
            <w:vAlign w:val="center"/>
          </w:tcPr>
          <w:p w14:paraId="2220EE18">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中小企业证明文件</w:t>
            </w:r>
          </w:p>
        </w:tc>
        <w:tc>
          <w:tcPr>
            <w:tcW w:w="2602" w:type="pct"/>
            <w:tcBorders>
              <w:bottom w:val="single" w:color="auto" w:sz="4" w:space="0"/>
            </w:tcBorders>
            <w:vAlign w:val="top"/>
          </w:tcPr>
          <w:p w14:paraId="34DA328D">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仿宋_GB2312"/>
                <w:color w:val="auto"/>
                <w:kern w:val="2"/>
                <w:sz w:val="24"/>
                <w:szCs w:val="28"/>
                <w:highlight w:val="none"/>
                <w:lang w:eastAsia="zh-CN"/>
              </w:rPr>
              <w:t>符合</w:t>
            </w:r>
            <w:r>
              <w:rPr>
                <w:rFonts w:hint="eastAsia" w:ascii="宋体" w:hAnsi="宋体" w:eastAsia="宋体" w:cs="@仿宋_GB2312"/>
                <w:color w:val="auto"/>
                <w:kern w:val="2"/>
                <w:sz w:val="24"/>
                <w:szCs w:val="28"/>
                <w:highlight w:val="none"/>
                <w:lang w:val="en-US" w:eastAsia="zh-CN"/>
              </w:rPr>
              <w:t>申请人的</w:t>
            </w:r>
            <w:r>
              <w:rPr>
                <w:rFonts w:hint="eastAsia" w:ascii="宋体" w:hAnsi="宋体" w:eastAsia="宋体" w:cs="@仿宋_GB2312"/>
                <w:color w:val="auto"/>
                <w:kern w:val="2"/>
                <w:sz w:val="24"/>
                <w:szCs w:val="28"/>
                <w:highlight w:val="none"/>
                <w:lang w:eastAsia="zh-CN"/>
              </w:rPr>
              <w:t>资格</w:t>
            </w:r>
            <w:r>
              <w:rPr>
                <w:rFonts w:hint="eastAsia" w:ascii="宋体" w:hAnsi="宋体" w:eastAsia="宋体" w:cs="@仿宋_GB2312"/>
                <w:color w:val="auto"/>
                <w:kern w:val="2"/>
                <w:sz w:val="24"/>
                <w:szCs w:val="28"/>
                <w:highlight w:val="none"/>
                <w:lang w:val="en-US" w:eastAsia="zh-CN"/>
              </w:rPr>
              <w:t>要求</w:t>
            </w:r>
            <w:r>
              <w:rPr>
                <w:rFonts w:hint="eastAsia" w:ascii="宋体" w:hAnsi="宋体" w:eastAsia="宋体" w:cs="@仿宋_GB2312"/>
                <w:color w:val="auto"/>
                <w:kern w:val="2"/>
                <w:sz w:val="24"/>
                <w:szCs w:val="28"/>
                <w:highlight w:val="none"/>
                <w:lang w:eastAsia="zh-CN"/>
              </w:rPr>
              <w:t>中落实政府采购政策需满足的资格要求：</w:t>
            </w:r>
          </w:p>
          <w:p w14:paraId="69FCEA3E">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）专门面向中小企业采购</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zh-CN" w:eastAsia="zh-CN"/>
              </w:rPr>
              <w:t>投</w:t>
            </w:r>
            <w:r>
              <w:rPr>
                <w:rFonts w:hint="eastAsia" w:ascii="宋体" w:hAnsi="宋体" w:eastAsia="宋体" w:cs="宋体"/>
                <w:color w:val="auto"/>
                <w:kern w:val="2"/>
                <w:sz w:val="24"/>
                <w:szCs w:val="24"/>
                <w:lang w:val="zh-CN" w:eastAsia="zh-CN"/>
              </w:rPr>
              <w:t>标人</w:t>
            </w:r>
            <w:r>
              <w:rPr>
                <w:rFonts w:hint="eastAsia" w:ascii="宋体" w:hAnsi="宋体" w:eastAsia="宋体" w:cs="宋体"/>
                <w:color w:val="auto"/>
                <w:kern w:val="2"/>
                <w:sz w:val="24"/>
                <w:szCs w:val="24"/>
                <w:highlight w:val="none"/>
                <w:lang w:eastAsia="zh-CN"/>
              </w:rPr>
              <w:t>应</w:t>
            </w:r>
            <w:r>
              <w:rPr>
                <w:rFonts w:hint="eastAsia" w:ascii="宋体" w:hAnsi="宋体" w:eastAsia="宋体" w:cs="宋体"/>
                <w:color w:val="auto"/>
                <w:kern w:val="2"/>
                <w:sz w:val="24"/>
                <w:szCs w:val="24"/>
                <w:highlight w:val="none"/>
                <w:lang w:val="en-US" w:eastAsia="zh-CN"/>
              </w:rPr>
              <w:t>提</w:t>
            </w:r>
            <w:r>
              <w:rPr>
                <w:rFonts w:hint="eastAsia" w:ascii="宋体" w:hAnsi="宋体" w:eastAsia="宋体" w:cs="宋体"/>
                <w:color w:val="auto"/>
                <w:kern w:val="2"/>
                <w:sz w:val="24"/>
                <w:szCs w:val="24"/>
                <w:highlight w:val="none"/>
                <w:lang w:eastAsia="zh-CN"/>
              </w:rPr>
              <w:t>供《中小企业声明函》或《残疾人福利性单位声明函》或由省级以上监狱管理局、戒毒管理局（含新疆 生产建设兵团）出具的属于监狱企业的证明文件。</w:t>
            </w:r>
          </w:p>
          <w:p w14:paraId="061F0D9B">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宋体"/>
                <w:color w:val="auto"/>
                <w:kern w:val="2"/>
                <w:sz w:val="24"/>
                <w:szCs w:val="24"/>
                <w:highlight w:val="none"/>
                <w:lang w:val="en-US" w:eastAsia="en-US"/>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80" w:type="pct"/>
            <w:tcBorders>
              <w:bottom w:val="single" w:color="auto" w:sz="4" w:space="0"/>
            </w:tcBorders>
            <w:vAlign w:val="center"/>
          </w:tcPr>
          <w:p w14:paraId="4BA03050">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仿宋_GB2312"/>
                <w:color w:val="auto"/>
                <w:kern w:val="2"/>
                <w:sz w:val="24"/>
                <w:szCs w:val="20"/>
                <w:highlight w:val="none"/>
                <w:lang w:eastAsia="zh-CN"/>
              </w:rPr>
              <w:t>详见第六章投标文件格式。</w:t>
            </w:r>
          </w:p>
        </w:tc>
      </w:tr>
      <w:tr w14:paraId="7D20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4D761F3D">
            <w:pPr>
              <w:pageBreakBefore w:val="0"/>
              <w:kinsoku/>
              <w:overflowPunct/>
              <w:topLinePunct w:val="0"/>
              <w:bidi w:val="0"/>
              <w:adjustRightInd w:val="0"/>
              <w:snapToGrid w:val="0"/>
              <w:spacing w:after="0" w:line="360" w:lineRule="auto"/>
              <w:ind w:right="-10" w:rightChars="0"/>
              <w:jc w:val="center"/>
              <w:textAlignment w:val="auto"/>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5</w:t>
            </w:r>
          </w:p>
        </w:tc>
        <w:tc>
          <w:tcPr>
            <w:tcW w:w="939" w:type="pct"/>
            <w:vAlign w:val="center"/>
          </w:tcPr>
          <w:p w14:paraId="02C9FD55">
            <w:pPr>
              <w:pageBreakBefore w:val="0"/>
              <w:kinsoku/>
              <w:overflowPunct/>
              <w:topLinePunct w:val="0"/>
              <w:bidi w:val="0"/>
              <w:adjustRightInd w:val="0"/>
              <w:snapToGrid w:val="0"/>
              <w:spacing w:after="0" w:line="360" w:lineRule="auto"/>
              <w:ind w:right="-10"/>
              <w:jc w:val="center"/>
              <w:textAlignment w:val="auto"/>
              <w:rPr>
                <w:rFonts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lang w:eastAsia="zh-CN"/>
              </w:rPr>
              <w:t>特定资格要求</w:t>
            </w:r>
          </w:p>
        </w:tc>
        <w:tc>
          <w:tcPr>
            <w:tcW w:w="2602" w:type="pct"/>
            <w:vAlign w:val="center"/>
          </w:tcPr>
          <w:p w14:paraId="3AE7FEB5">
            <w:pPr>
              <w:pageBreakBefore w:val="0"/>
              <w:kinsoku/>
              <w:overflowPunct/>
              <w:topLinePunct w:val="0"/>
              <w:bidi w:val="0"/>
              <w:adjustRightInd w:val="0"/>
              <w:snapToGrid w:val="0"/>
              <w:spacing w:after="0" w:line="360" w:lineRule="auto"/>
              <w:ind w:right="-10"/>
              <w:jc w:val="left"/>
              <w:textAlignment w:val="auto"/>
              <w:rPr>
                <w:rFonts w:hint="default"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lang w:val="en-US" w:eastAsia="zh-CN"/>
              </w:rPr>
              <w:t>无</w:t>
            </w:r>
          </w:p>
        </w:tc>
        <w:tc>
          <w:tcPr>
            <w:tcW w:w="1080" w:type="pct"/>
            <w:vAlign w:val="center"/>
          </w:tcPr>
          <w:p w14:paraId="0056437D">
            <w:pPr>
              <w:pageBreakBefore w:val="0"/>
              <w:kinsoku/>
              <w:overflowPunct/>
              <w:topLinePunct w:val="0"/>
              <w:bidi w:val="0"/>
              <w:adjustRightInd w:val="0"/>
              <w:snapToGrid w:val="0"/>
              <w:spacing w:after="0" w:line="360" w:lineRule="auto"/>
              <w:ind w:right="-10"/>
              <w:jc w:val="both"/>
              <w:textAlignment w:val="auto"/>
              <w:rPr>
                <w:rFonts w:ascii="宋体" w:hAnsi="宋体" w:eastAsia="宋体" w:cs="宋体"/>
                <w:color w:val="auto"/>
                <w:spacing w:val="10"/>
                <w:kern w:val="2"/>
                <w:sz w:val="24"/>
                <w:szCs w:val="24"/>
                <w:lang w:eastAsia="zh-CN"/>
              </w:rPr>
            </w:pPr>
          </w:p>
        </w:tc>
      </w:tr>
    </w:tbl>
    <w:p w14:paraId="398C1E59">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A9FD38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96CE33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17"/>
        <w:gridCol w:w="3128"/>
        <w:gridCol w:w="2511"/>
      </w:tblGrid>
      <w:tr w14:paraId="0584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14:paraId="27024233">
            <w:pPr>
              <w:pageBreakBefore w:val="0"/>
              <w:kinsoku/>
              <w:overflowPunct/>
              <w:topLinePunct w:val="0"/>
              <w:bidi w:val="0"/>
              <w:adjustRightInd w:val="0"/>
              <w:snapToGrid w:val="0"/>
              <w:spacing w:after="0" w:line="360" w:lineRule="auto"/>
              <w:ind w:right="-1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A8F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noWrap w:val="0"/>
            <w:vAlign w:val="center"/>
          </w:tcPr>
          <w:p w14:paraId="2B0403EA">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2117" w:type="dxa"/>
            <w:tcBorders>
              <w:bottom w:val="single" w:color="auto" w:sz="4" w:space="0"/>
            </w:tcBorders>
            <w:noWrap w:val="0"/>
            <w:vAlign w:val="center"/>
          </w:tcPr>
          <w:p w14:paraId="2C799C37">
            <w:pPr>
              <w:pStyle w:val="57"/>
              <w:pageBreakBefore w:val="0"/>
              <w:pBdr>
                <w:bottom w:val="none" w:color="auto" w:sz="0" w:space="0"/>
              </w:pBdr>
              <w:tabs>
                <w:tab w:val="clear" w:pos="4153"/>
                <w:tab w:val="clear" w:pos="8306"/>
              </w:tabs>
              <w:kinsoku/>
              <w:overflowPunct/>
              <w:topLinePunct w:val="0"/>
              <w:bidi w:val="0"/>
              <w:adjustRightInd w:val="0"/>
              <w:snapToGrid w:val="0"/>
              <w:spacing w:after="0" w:line="360" w:lineRule="auto"/>
              <w:ind w:right="-10"/>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3128" w:type="dxa"/>
            <w:tcBorders>
              <w:bottom w:val="single" w:color="auto" w:sz="4" w:space="0"/>
            </w:tcBorders>
            <w:noWrap w:val="0"/>
            <w:vAlign w:val="center"/>
          </w:tcPr>
          <w:p w14:paraId="2ECECD3D">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2511" w:type="dxa"/>
            <w:tcBorders>
              <w:bottom w:val="single" w:color="auto" w:sz="4" w:space="0"/>
            </w:tcBorders>
            <w:noWrap w:val="0"/>
            <w:vAlign w:val="center"/>
          </w:tcPr>
          <w:p w14:paraId="79740581">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42C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50EFF814">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2117" w:type="dxa"/>
            <w:noWrap w:val="0"/>
            <w:vAlign w:val="center"/>
          </w:tcPr>
          <w:p w14:paraId="449EF888">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3128" w:type="dxa"/>
            <w:noWrap w:val="0"/>
            <w:vAlign w:val="center"/>
          </w:tcPr>
          <w:p w14:paraId="69B2E859">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w:t>
            </w:r>
            <w:r>
              <w:rPr>
                <w:rFonts w:hint="eastAsia" w:ascii="宋体" w:hAnsi="宋体" w:eastAsia="宋体"/>
                <w:color w:val="auto"/>
                <w:sz w:val="24"/>
                <w:szCs w:val="28"/>
                <w:highlight w:val="none"/>
                <w:lang w:eastAsia="zh-CN"/>
              </w:rPr>
              <w:t>（在报价评审环节进行）</w:t>
            </w:r>
          </w:p>
        </w:tc>
        <w:tc>
          <w:tcPr>
            <w:tcW w:w="2511" w:type="dxa"/>
            <w:noWrap w:val="0"/>
            <w:vAlign w:val="center"/>
          </w:tcPr>
          <w:p w14:paraId="51BEA0E6">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1F5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A6B4B2A">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2117" w:type="dxa"/>
            <w:noWrap w:val="0"/>
            <w:vAlign w:val="center"/>
          </w:tcPr>
          <w:p w14:paraId="747A44FD">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3128" w:type="dxa"/>
            <w:noWrap w:val="0"/>
            <w:vAlign w:val="center"/>
          </w:tcPr>
          <w:p w14:paraId="6691C264">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w:t>
            </w:r>
            <w:r>
              <w:rPr>
                <w:rFonts w:hint="eastAsia" w:ascii="宋体" w:hAnsi="宋体" w:eastAsia="宋体"/>
                <w:color w:val="auto"/>
                <w:sz w:val="24"/>
                <w:szCs w:val="28"/>
                <w:highlight w:val="none"/>
                <w:lang w:eastAsia="zh-CN"/>
              </w:rPr>
              <w:t>（在报价评审环节进行）</w:t>
            </w:r>
          </w:p>
        </w:tc>
        <w:tc>
          <w:tcPr>
            <w:tcW w:w="2511" w:type="dxa"/>
            <w:noWrap w:val="0"/>
            <w:vAlign w:val="center"/>
          </w:tcPr>
          <w:p w14:paraId="58523CBA">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610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02AE60CE">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r>
              <w:rPr>
                <w:rFonts w:ascii="宋体" w:hAnsi="宋体" w:eastAsia="宋体"/>
                <w:color w:val="auto"/>
                <w:sz w:val="24"/>
                <w:highlight w:val="none"/>
              </w:rPr>
              <w:t>3</w:t>
            </w:r>
          </w:p>
        </w:tc>
        <w:tc>
          <w:tcPr>
            <w:tcW w:w="2117" w:type="dxa"/>
            <w:noWrap w:val="0"/>
            <w:vAlign w:val="center"/>
          </w:tcPr>
          <w:p w14:paraId="55450AB5">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3128" w:type="dxa"/>
            <w:noWrap w:val="0"/>
            <w:vAlign w:val="center"/>
          </w:tcPr>
          <w:p w14:paraId="6E05F5E2">
            <w:pPr>
              <w:pageBreakBefore w:val="0"/>
              <w:kinsoku/>
              <w:overflowPunct/>
              <w:topLinePunct w:val="0"/>
              <w:bidi w:val="0"/>
              <w:adjustRightInd w:val="0"/>
              <w:snapToGrid w:val="0"/>
              <w:spacing w:after="0" w:line="360" w:lineRule="auto"/>
              <w:ind w:right="-10"/>
              <w:jc w:val="left"/>
              <w:textAlignment w:val="auto"/>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w:t>
            </w:r>
          </w:p>
        </w:tc>
        <w:tc>
          <w:tcPr>
            <w:tcW w:w="2511" w:type="dxa"/>
            <w:noWrap w:val="0"/>
            <w:vAlign w:val="center"/>
          </w:tcPr>
          <w:p w14:paraId="3398EAC0">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04F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noWrap w:val="0"/>
            <w:vAlign w:val="center"/>
          </w:tcPr>
          <w:p w14:paraId="6256DB6D">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2117" w:type="dxa"/>
            <w:noWrap w:val="0"/>
            <w:vAlign w:val="center"/>
          </w:tcPr>
          <w:p w14:paraId="5C122EEC">
            <w:pPr>
              <w:pageBreakBefore w:val="0"/>
              <w:kinsoku/>
              <w:overflowPunct/>
              <w:topLinePunct w:val="0"/>
              <w:bidi w:val="0"/>
              <w:adjustRightInd w:val="0"/>
              <w:snapToGrid w:val="0"/>
              <w:spacing w:after="0" w:line="360" w:lineRule="auto"/>
              <w:ind w:right="-10" w:rightChars="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128" w:type="dxa"/>
            <w:noWrap w:val="0"/>
            <w:vAlign w:val="center"/>
          </w:tcPr>
          <w:p w14:paraId="0440DD72">
            <w:pPr>
              <w:pageBreakBefore w:val="0"/>
              <w:kinsoku/>
              <w:overflowPunct/>
              <w:topLinePunct w:val="0"/>
              <w:bidi w:val="0"/>
              <w:adjustRightInd w:val="0"/>
              <w:snapToGrid w:val="0"/>
              <w:spacing w:after="0" w:line="360" w:lineRule="auto"/>
              <w:ind w:right="-10" w:rightChars="0"/>
              <w:jc w:val="left"/>
              <w:textAlignment w:val="auto"/>
              <w:rPr>
                <w:rFonts w:ascii="宋体" w:hAnsi="宋体" w:eastAsia="宋体"/>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2511" w:type="dxa"/>
            <w:noWrap w:val="0"/>
            <w:vAlign w:val="center"/>
          </w:tcPr>
          <w:p w14:paraId="7CC8E87D">
            <w:pPr>
              <w:pageBreakBefore w:val="0"/>
              <w:kinsoku/>
              <w:overflowPunct/>
              <w:topLinePunct w:val="0"/>
              <w:bidi w:val="0"/>
              <w:adjustRightInd w:val="0"/>
              <w:snapToGrid w:val="0"/>
              <w:spacing w:after="0" w:line="360" w:lineRule="auto"/>
              <w:ind w:right="-10"/>
              <w:jc w:val="center"/>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AB4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noWrap w:val="0"/>
            <w:vAlign w:val="center"/>
          </w:tcPr>
          <w:p w14:paraId="74542556">
            <w:pPr>
              <w:pStyle w:val="43"/>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2117" w:type="dxa"/>
            <w:noWrap w:val="0"/>
            <w:vAlign w:val="center"/>
          </w:tcPr>
          <w:p w14:paraId="76115D35">
            <w:pPr>
              <w:keepNext w:val="0"/>
              <w:keepLines w:val="0"/>
              <w:pageBreakBefore w:val="0"/>
              <w:suppressLineNumbers w:val="0"/>
              <w:kinsoku/>
              <w:overflowPunct/>
              <w:topLinePunct w:val="0"/>
              <w:bidi w:val="0"/>
              <w:adjustRightInd w:val="0"/>
              <w:snapToGrid w:val="0"/>
              <w:spacing w:beforeAutospacing="0" w:after="0" w:afterAutospacing="0" w:line="360" w:lineRule="auto"/>
              <w:ind w:left="0" w:leftChars="0" w:right="-10" w:rightChars="0"/>
              <w:jc w:val="center"/>
              <w:textAlignment w:val="auto"/>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128" w:type="dxa"/>
            <w:noWrap w:val="0"/>
            <w:vAlign w:val="center"/>
          </w:tcPr>
          <w:p w14:paraId="125114A0">
            <w:pPr>
              <w:keepNext w:val="0"/>
              <w:keepLines w:val="0"/>
              <w:pageBreakBefore w:val="0"/>
              <w:suppressLineNumbers w:val="0"/>
              <w:kinsoku/>
              <w:overflowPunct/>
              <w:topLinePunct w:val="0"/>
              <w:bidi w:val="0"/>
              <w:adjustRightInd w:val="0"/>
              <w:snapToGrid w:val="0"/>
              <w:spacing w:beforeAutospacing="0" w:after="0" w:afterAutospacing="0" w:line="360" w:lineRule="auto"/>
              <w:ind w:left="0" w:leftChars="0" w:right="-10" w:rightChars="0"/>
              <w:jc w:val="left"/>
              <w:textAlignment w:val="auto"/>
              <w:rPr>
                <w:rFonts w:hint="default" w:ascii="宋体" w:hAnsi="宋体" w:eastAsia="宋体"/>
                <w:color w:val="auto"/>
                <w:sz w:val="24"/>
                <w:szCs w:val="28"/>
                <w:highlight w:val="none"/>
                <w:lang w:val="en-US" w:eastAsia="zh-CN"/>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2511" w:type="dxa"/>
            <w:noWrap w:val="0"/>
            <w:vAlign w:val="center"/>
          </w:tcPr>
          <w:p w14:paraId="537076BD">
            <w:pPr>
              <w:pageBreakBefore w:val="0"/>
              <w:kinsoku/>
              <w:overflowPunct/>
              <w:topLinePunct w:val="0"/>
              <w:bidi w:val="0"/>
              <w:adjustRightInd w:val="0"/>
              <w:snapToGrid w:val="0"/>
              <w:spacing w:after="0" w:line="360" w:lineRule="auto"/>
              <w:ind w:right="-10"/>
              <w:jc w:val="center"/>
              <w:textAlignment w:val="auto"/>
              <w:rPr>
                <w:rFonts w:ascii="宋体" w:hAnsi="宋体" w:eastAsia="宋体"/>
                <w:color w:val="auto"/>
                <w:sz w:val="24"/>
                <w:highlight w:val="none"/>
              </w:rPr>
            </w:pPr>
          </w:p>
        </w:tc>
      </w:tr>
    </w:tbl>
    <w:p w14:paraId="4625B911">
      <w:pPr>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1"/>
        <w:rPr>
          <w:rFonts w:hint="eastAsia"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F144FE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2C8867D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766ACC7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007A44A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308271C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6170FD8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5CD3F24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1"/>
        <w:rPr>
          <w:rFonts w:hint="eastAsia" w:ascii="宋体" w:hAnsi="宋体" w:eastAsia="宋体"/>
          <w:color w:val="auto"/>
          <w:sz w:val="24"/>
          <w:highlight w:val="none"/>
        </w:rPr>
      </w:pPr>
    </w:p>
    <w:p w14:paraId="7F4F515E">
      <w:pPr>
        <w:spacing w:after="0" w:line="360" w:lineRule="auto"/>
        <w:ind w:firstLine="435"/>
        <w:jc w:val="both"/>
        <w:outlineLvl w:val="2"/>
        <w:rPr>
          <w:rFonts w:hint="eastAsia" w:ascii="宋体" w:hAnsi="宋体" w:eastAsia="宋体" w:cs="@仿宋_GB2312"/>
          <w:kern w:val="2"/>
          <w:sz w:val="24"/>
          <w:szCs w:val="20"/>
          <w:highlight w:val="none"/>
          <w:lang w:val="en-US" w:eastAsia="zh-CN"/>
        </w:rPr>
      </w:pPr>
    </w:p>
    <w:p w14:paraId="13B89FA2">
      <w:pPr>
        <w:spacing w:after="0" w:line="360" w:lineRule="auto"/>
        <w:ind w:firstLine="435"/>
        <w:jc w:val="both"/>
        <w:outlineLvl w:val="2"/>
        <w:rPr>
          <w:rFonts w:hint="eastAsia" w:ascii="宋体" w:hAnsi="宋体" w:eastAsia="宋体" w:cs="@仿宋_GB2312"/>
          <w:kern w:val="2"/>
          <w:sz w:val="24"/>
          <w:szCs w:val="20"/>
          <w:highlight w:val="none"/>
          <w:lang w:eastAsia="zh-CN"/>
        </w:rPr>
      </w:pPr>
      <w:r>
        <w:rPr>
          <w:rFonts w:hint="eastAsia" w:ascii="宋体" w:hAnsi="宋体" w:eastAsia="宋体" w:cs="@仿宋_GB2312"/>
          <w:kern w:val="2"/>
          <w:sz w:val="24"/>
          <w:szCs w:val="20"/>
          <w:highlight w:val="none"/>
          <w:lang w:val="en-US" w:eastAsia="zh-CN"/>
        </w:rPr>
        <w:t>2.3</w:t>
      </w:r>
      <w:r>
        <w:rPr>
          <w:rFonts w:hint="eastAsia" w:ascii="宋体" w:hAnsi="宋体" w:eastAsia="宋体" w:cs="@仿宋_GB2312"/>
          <w:kern w:val="2"/>
          <w:sz w:val="24"/>
          <w:szCs w:val="20"/>
          <w:highlight w:val="none"/>
          <w:lang w:eastAsia="zh-CN"/>
        </w:rPr>
        <w:t>异常低价</w:t>
      </w:r>
      <w:r>
        <w:rPr>
          <w:rFonts w:hint="eastAsia" w:ascii="宋体" w:hAnsi="宋体" w:eastAsia="宋体" w:cs="@仿宋_GB2312"/>
          <w:kern w:val="2"/>
          <w:sz w:val="24"/>
          <w:szCs w:val="20"/>
          <w:highlight w:val="none"/>
          <w:lang w:val="en-US" w:eastAsia="zh-CN"/>
        </w:rPr>
        <w:t>投标</w:t>
      </w:r>
      <w:r>
        <w:rPr>
          <w:rFonts w:hint="eastAsia" w:ascii="宋体" w:hAnsi="宋体" w:eastAsia="宋体" w:cs="@仿宋_GB2312"/>
          <w:kern w:val="2"/>
          <w:sz w:val="24"/>
          <w:szCs w:val="20"/>
          <w:highlight w:val="none"/>
          <w:lang w:eastAsia="zh-CN"/>
        </w:rPr>
        <w:t>审查</w:t>
      </w:r>
    </w:p>
    <w:tbl>
      <w:tblPr>
        <w:tblStyle w:val="2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40"/>
        <w:gridCol w:w="2262"/>
      </w:tblGrid>
      <w:tr w14:paraId="1FE4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3140D3F8">
            <w:pPr>
              <w:adjustRightInd w:val="0"/>
              <w:snapToGrid w:val="0"/>
              <w:spacing w:after="0" w:line="360" w:lineRule="auto"/>
              <w:ind w:right="-10" w:rightChars="0"/>
              <w:jc w:val="center"/>
              <w:rPr>
                <w:rFonts w:ascii="宋体" w:hAnsi="宋体" w:eastAsia="宋体" w:cs="@仿宋_GB2312"/>
                <w:kern w:val="2"/>
                <w:sz w:val="24"/>
                <w:szCs w:val="20"/>
                <w:highlight w:val="none"/>
                <w:lang w:eastAsia="zh-CN"/>
              </w:rPr>
            </w:pPr>
            <w:r>
              <w:rPr>
                <w:rFonts w:hint="eastAsia" w:ascii="宋体" w:hAnsi="宋体" w:eastAsia="宋体" w:cs="Times New Roman"/>
                <w:b/>
                <w:bCs/>
                <w:kern w:val="2"/>
                <w:sz w:val="24"/>
                <w:szCs w:val="20"/>
                <w:highlight w:val="none"/>
                <w:lang w:val="en-US" w:eastAsia="zh-CN"/>
              </w:rPr>
              <w:t>异常低价投标审查表</w:t>
            </w:r>
          </w:p>
        </w:tc>
      </w:tr>
      <w:tr w14:paraId="0FF2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0E34AA1C">
            <w:pPr>
              <w:spacing w:after="0" w:line="360" w:lineRule="auto"/>
              <w:jc w:val="center"/>
              <w:rPr>
                <w:rFonts w:ascii="宋体" w:hAnsi="宋体" w:eastAsia="宋体" w:cs="@仿宋_GB2312"/>
                <w:kern w:val="2"/>
                <w:sz w:val="24"/>
                <w:szCs w:val="20"/>
                <w:highlight w:val="none"/>
                <w:lang w:eastAsia="zh-CN"/>
              </w:rPr>
            </w:pPr>
            <w:r>
              <w:rPr>
                <w:rFonts w:hint="eastAsia" w:ascii="宋体" w:hAnsi="宋体" w:eastAsia="宋体" w:cs="Times New Roman"/>
                <w:kern w:val="2"/>
                <w:sz w:val="24"/>
                <w:szCs w:val="20"/>
                <w:highlight w:val="none"/>
                <w:lang w:val="en-US" w:eastAsia="zh-CN"/>
              </w:rPr>
              <w:t>序号</w:t>
            </w:r>
          </w:p>
        </w:tc>
        <w:tc>
          <w:tcPr>
            <w:tcW w:w="1450" w:type="dxa"/>
            <w:tcBorders>
              <w:bottom w:val="single" w:color="auto" w:sz="4" w:space="0"/>
            </w:tcBorders>
            <w:vAlign w:val="center"/>
          </w:tcPr>
          <w:p w14:paraId="512B65AD">
            <w:pPr>
              <w:spacing w:after="0" w:line="360" w:lineRule="auto"/>
              <w:ind w:firstLine="240" w:firstLineChars="100"/>
              <w:jc w:val="center"/>
              <w:rPr>
                <w:rFonts w:ascii="宋体" w:hAnsi="宋体" w:eastAsia="宋体" w:cs="@仿宋_GB2312"/>
                <w:kern w:val="2"/>
                <w:sz w:val="21"/>
                <w:szCs w:val="24"/>
                <w:highlight w:val="none"/>
                <w:lang w:eastAsia="zh-CN"/>
              </w:rPr>
            </w:pPr>
            <w:r>
              <w:rPr>
                <w:rFonts w:hint="eastAsia" w:ascii="宋体" w:hAnsi="宋体" w:eastAsia="宋体" w:cs="Times New Roman"/>
                <w:kern w:val="2"/>
                <w:sz w:val="24"/>
                <w:szCs w:val="20"/>
                <w:highlight w:val="none"/>
                <w:lang w:val="en-US" w:eastAsia="zh-CN"/>
              </w:rPr>
              <w:t>评审指标</w:t>
            </w:r>
          </w:p>
        </w:tc>
        <w:tc>
          <w:tcPr>
            <w:tcW w:w="4439" w:type="dxa"/>
            <w:tcBorders>
              <w:bottom w:val="single" w:color="auto" w:sz="4" w:space="0"/>
            </w:tcBorders>
            <w:vAlign w:val="center"/>
          </w:tcPr>
          <w:p w14:paraId="2E625C79">
            <w:pPr>
              <w:spacing w:after="0" w:line="360" w:lineRule="auto"/>
              <w:ind w:firstLine="240" w:firstLineChars="100"/>
              <w:jc w:val="center"/>
              <w:rPr>
                <w:rFonts w:ascii="宋体" w:hAnsi="宋体" w:eastAsia="宋体" w:cs="@仿宋_GB2312"/>
                <w:kern w:val="2"/>
                <w:sz w:val="24"/>
                <w:szCs w:val="20"/>
                <w:highlight w:val="none"/>
                <w:lang w:eastAsia="zh-CN"/>
              </w:rPr>
            </w:pPr>
            <w:r>
              <w:rPr>
                <w:rFonts w:hint="eastAsia" w:ascii="宋体" w:hAnsi="宋体" w:eastAsia="宋体" w:cs="Times New Roman"/>
                <w:kern w:val="2"/>
                <w:sz w:val="24"/>
                <w:szCs w:val="20"/>
                <w:highlight w:val="none"/>
                <w:lang w:val="en-US" w:eastAsia="zh-CN"/>
              </w:rPr>
              <w:t>评审标准</w:t>
            </w:r>
          </w:p>
        </w:tc>
        <w:tc>
          <w:tcPr>
            <w:tcW w:w="2260" w:type="dxa"/>
            <w:tcBorders>
              <w:bottom w:val="single" w:color="auto" w:sz="4" w:space="0"/>
            </w:tcBorders>
            <w:vAlign w:val="center"/>
          </w:tcPr>
          <w:p w14:paraId="39E17443">
            <w:pPr>
              <w:spacing w:after="0" w:line="360" w:lineRule="auto"/>
              <w:jc w:val="center"/>
              <w:rPr>
                <w:rFonts w:ascii="宋体" w:hAnsi="宋体" w:eastAsia="宋体" w:cs="@仿宋_GB2312"/>
                <w:kern w:val="2"/>
                <w:sz w:val="24"/>
                <w:szCs w:val="20"/>
                <w:highlight w:val="none"/>
                <w:lang w:eastAsia="zh-CN"/>
              </w:rPr>
            </w:pPr>
            <w:r>
              <w:rPr>
                <w:rFonts w:hint="eastAsia" w:ascii="宋体" w:hAnsi="宋体" w:eastAsia="宋体" w:cs="Times New Roman"/>
                <w:kern w:val="2"/>
                <w:sz w:val="24"/>
                <w:szCs w:val="20"/>
                <w:highlight w:val="none"/>
                <w:lang w:val="en-US" w:eastAsia="zh-CN"/>
              </w:rPr>
              <w:t>格式及材料要求</w:t>
            </w:r>
          </w:p>
        </w:tc>
      </w:tr>
      <w:tr w14:paraId="366C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C18A716">
            <w:pPr>
              <w:spacing w:after="0" w:line="360" w:lineRule="auto"/>
              <w:ind w:firstLine="240" w:firstLineChars="100"/>
              <w:jc w:val="both"/>
              <w:rPr>
                <w:rFonts w:hint="eastAsia" w:ascii="宋体" w:hAnsi="宋体" w:eastAsia="宋体" w:cs="宋体"/>
                <w:kern w:val="2"/>
                <w:sz w:val="24"/>
                <w:szCs w:val="20"/>
                <w:highlight w:val="none"/>
                <w:lang w:eastAsia="zh-CN"/>
              </w:rPr>
            </w:pPr>
            <w:r>
              <w:rPr>
                <w:rFonts w:hint="eastAsia" w:ascii="宋体" w:hAnsi="宋体" w:eastAsia="宋体" w:cs="宋体"/>
                <w:kern w:val="2"/>
                <w:sz w:val="24"/>
                <w:szCs w:val="20"/>
                <w:highlight w:val="none"/>
                <w:lang w:val="en-US" w:eastAsia="zh-CN"/>
              </w:rPr>
              <w:t>1</w:t>
            </w:r>
          </w:p>
        </w:tc>
        <w:tc>
          <w:tcPr>
            <w:tcW w:w="1450" w:type="dxa"/>
            <w:tcBorders>
              <w:bottom w:val="single" w:color="auto" w:sz="4" w:space="0"/>
            </w:tcBorders>
            <w:vAlign w:val="center"/>
          </w:tcPr>
          <w:p w14:paraId="3A488C07">
            <w:pPr>
              <w:spacing w:after="0" w:line="360" w:lineRule="auto"/>
              <w:jc w:val="both"/>
              <w:rPr>
                <w:rFonts w:hint="eastAsia" w:ascii="宋体" w:hAnsi="宋体" w:eastAsia="宋体" w:cs="宋体"/>
                <w:kern w:val="2"/>
                <w:sz w:val="24"/>
                <w:szCs w:val="28"/>
                <w:highlight w:val="none"/>
                <w:lang w:eastAsia="zh-CN"/>
              </w:rPr>
            </w:pPr>
            <w:r>
              <w:rPr>
                <w:rFonts w:hint="eastAsia" w:ascii="宋体" w:hAnsi="宋体" w:eastAsia="宋体" w:cs="宋体"/>
                <w:kern w:val="2"/>
                <w:sz w:val="24"/>
                <w:szCs w:val="20"/>
                <w:highlight w:val="none"/>
                <w:lang w:val="en-US" w:eastAsia="zh-CN"/>
              </w:rPr>
              <w:t>异常低价投标审查</w:t>
            </w:r>
          </w:p>
        </w:tc>
        <w:tc>
          <w:tcPr>
            <w:tcW w:w="4439" w:type="dxa"/>
            <w:tcBorders>
              <w:bottom w:val="single" w:color="auto" w:sz="4" w:space="0"/>
            </w:tcBorders>
            <w:vAlign w:val="center"/>
          </w:tcPr>
          <w:p w14:paraId="01E4247D">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kern w:val="2"/>
                <w:sz w:val="24"/>
                <w:szCs w:val="24"/>
                <w:highlight w:val="none"/>
                <w:u w:val="none"/>
                <w:lang w:val="en-US" w:eastAsia="zh-CN"/>
              </w:rPr>
              <w:t>（1）投标报价＜全部通过符合性审查投标人投标报价</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平均值×</w:t>
            </w:r>
            <w:r>
              <w:rPr>
                <w:rFonts w:hint="eastAsia" w:ascii="宋体" w:hAnsi="宋体" w:eastAsia="宋体" w:cs="宋体"/>
                <w:b w:val="0"/>
                <w:bCs w:val="0"/>
                <w:i w:val="0"/>
                <w:iCs w:val="0"/>
                <w:color w:val="000000" w:themeColor="text1"/>
                <w:kern w:val="2"/>
                <w:sz w:val="24"/>
                <w:szCs w:val="24"/>
                <w:highlight w:val="none"/>
                <w:u w:val="single"/>
                <w:lang w:val="en-US" w:eastAsia="zh-CN"/>
                <w14:textFill>
                  <w14:solidFill>
                    <w14:schemeClr w14:val="tx1"/>
                  </w14:solidFill>
                </w14:textFill>
              </w:rPr>
              <w:t>65%</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p>
          <w:p w14:paraId="7202F596">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（2）投标报价＜通过符合性审查的次低报价投标人投标报价×</w:t>
            </w:r>
            <w:r>
              <w:rPr>
                <w:rFonts w:hint="eastAsia" w:ascii="宋体" w:hAnsi="宋体" w:eastAsia="宋体" w:cs="宋体"/>
                <w:b w:val="0"/>
                <w:bCs w:val="0"/>
                <w:i w:val="0"/>
                <w:iCs w:val="0"/>
                <w:color w:val="000000" w:themeColor="text1"/>
                <w:kern w:val="2"/>
                <w:sz w:val="24"/>
                <w:szCs w:val="24"/>
                <w:highlight w:val="none"/>
                <w:u w:val="single"/>
                <w:lang w:val="en-US" w:eastAsia="zh-CN"/>
                <w14:textFill>
                  <w14:solidFill>
                    <w14:schemeClr w14:val="tx1"/>
                  </w14:solidFill>
                </w14:textFill>
              </w:rPr>
              <w:t>65%</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p>
          <w:p w14:paraId="643BE762">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（3）投标报价＜采购项目最高限价（</w:t>
            </w:r>
            <w:r>
              <w:rPr>
                <w:rFonts w:hint="eastAsia" w:ascii="宋体" w:hAnsi="宋体" w:eastAsia="宋体" w:cs="宋体"/>
                <w:b w:val="0"/>
                <w:bCs w:val="0"/>
                <w:color w:val="000000" w:themeColor="text1"/>
                <w:kern w:val="2"/>
                <w:sz w:val="24"/>
                <w:szCs w:val="20"/>
                <w:highlight w:val="none"/>
                <w:lang w:val="en-US" w:eastAsia="zh-CN"/>
                <w14:textFill>
                  <w14:solidFill>
                    <w14:schemeClr w14:val="tx1"/>
                  </w14:solidFill>
                </w14:textFill>
              </w:rPr>
              <w:t>如采购项目未设定最高限价的，以采购项目预算金额作为最高限价</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r>
              <w:rPr>
                <w:rFonts w:hint="eastAsia" w:ascii="宋体" w:hAnsi="宋体" w:eastAsia="宋体" w:cs="宋体"/>
                <w:b w:val="0"/>
                <w:bCs w:val="0"/>
                <w:i w:val="0"/>
                <w:iCs w:val="0"/>
                <w:color w:val="000000" w:themeColor="text1"/>
                <w:kern w:val="2"/>
                <w:sz w:val="24"/>
                <w:szCs w:val="24"/>
                <w:highlight w:val="none"/>
                <w:u w:val="single"/>
                <w:lang w:val="en-US" w:eastAsia="zh-CN"/>
                <w14:textFill>
                  <w14:solidFill>
                    <w14:schemeClr w14:val="tx1"/>
                  </w14:solidFill>
                </w14:textFill>
              </w:rPr>
              <w:t>65%</w:t>
            </w:r>
            <w:r>
              <w:rPr>
                <w:rFonts w:hint="eastAsia" w:ascii="宋体" w:hAnsi="宋体" w:eastAsia="宋体" w:cs="宋体"/>
                <w:b w:val="0"/>
                <w:bCs w:val="0"/>
                <w:i w:val="0"/>
                <w:iCs w:val="0"/>
                <w:color w:val="000000" w:themeColor="text1"/>
                <w:kern w:val="2"/>
                <w:sz w:val="24"/>
                <w:szCs w:val="24"/>
                <w:highlight w:val="none"/>
                <w:u w:val="none"/>
                <w:lang w:val="en-US" w:eastAsia="zh-CN"/>
                <w14:textFill>
                  <w14:solidFill>
                    <w14:schemeClr w14:val="tx1"/>
                  </w14:solidFill>
                </w14:textFill>
              </w:rPr>
              <w:t>；</w:t>
            </w:r>
          </w:p>
          <w:p w14:paraId="147B43E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（4）评标委员会基于专业判断，认为投标人报价过低，有可能影响产品质量或者不能诚信履约的其他情形。</w:t>
            </w:r>
          </w:p>
          <w:p w14:paraId="25BE9A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2"/>
                <w:sz w:val="24"/>
                <w:highlight w:val="none"/>
                <w:lang w:val="en-US" w:eastAsia="zh-CN" w:bidi="ar-SA"/>
              </w:rPr>
            </w:pPr>
            <w:r>
              <w:rPr>
                <w:rFonts w:hint="eastAsia" w:ascii="宋体" w:hAnsi="宋体" w:eastAsia="宋体" w:cs="宋体"/>
                <w:b/>
                <w:bCs/>
                <w:kern w:val="2"/>
                <w:sz w:val="24"/>
                <w:highlight w:val="none"/>
                <w:lang w:val="en-US" w:eastAsia="zh-CN" w:bidi="ar-SA"/>
              </w:rPr>
              <w:t>提醒：</w:t>
            </w:r>
          </w:p>
          <w:p w14:paraId="032E6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上述</w:t>
            </w:r>
            <w:r>
              <w:rPr>
                <w:rFonts w:hint="eastAsia" w:ascii="宋体" w:hAnsi="宋体" w:eastAsia="宋体" w:cs="Arial"/>
                <w:kern w:val="2"/>
                <w:sz w:val="24"/>
                <w:highlight w:val="none"/>
                <w:lang w:val="en-US" w:eastAsia="zh-CN" w:bidi="ar-SA"/>
              </w:rPr>
              <w:t>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6563A8F4">
            <w:pPr>
              <w:spacing w:after="0" w:line="360" w:lineRule="auto"/>
              <w:ind w:firstLine="240" w:firstLineChars="100"/>
              <w:jc w:val="both"/>
              <w:rPr>
                <w:rFonts w:hint="eastAsia" w:ascii="宋体" w:hAnsi="宋体" w:eastAsia="宋体" w:cs="宋体"/>
                <w:kern w:val="2"/>
                <w:sz w:val="24"/>
                <w:szCs w:val="20"/>
                <w:highlight w:val="none"/>
                <w:lang w:eastAsia="zh-CN"/>
              </w:rPr>
            </w:pPr>
            <w:r>
              <w:rPr>
                <w:rFonts w:hint="eastAsia" w:ascii="宋体" w:hAnsi="宋体" w:eastAsia="宋体" w:cs="宋体"/>
                <w:kern w:val="2"/>
                <w:sz w:val="24"/>
                <w:szCs w:val="20"/>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8A647A0">
      <w:pPr>
        <w:spacing w:after="0" w:line="360" w:lineRule="auto"/>
        <w:jc w:val="both"/>
        <w:rPr>
          <w:rFonts w:hint="eastAsia" w:ascii="宋体" w:hAnsi="宋体" w:eastAsia="宋体" w:cs="Arial"/>
          <w:kern w:val="2"/>
          <w:sz w:val="24"/>
          <w:szCs w:val="20"/>
          <w:highlight w:val="none"/>
          <w:lang w:val="en-US" w:eastAsia="zh-CN"/>
        </w:rPr>
      </w:pPr>
      <w:r>
        <w:rPr>
          <w:rFonts w:hint="eastAsia" w:ascii="宋体" w:hAnsi="宋体" w:eastAsia="宋体" w:cs="Times New Roman"/>
          <w:kern w:val="2"/>
          <w:sz w:val="24"/>
          <w:szCs w:val="20"/>
          <w:highlight w:val="none"/>
          <w:lang w:val="en-US" w:eastAsia="zh-CN"/>
        </w:rPr>
        <w:t>注：</w:t>
      </w:r>
    </w:p>
    <w:p w14:paraId="746BC0C2">
      <w:pPr>
        <w:spacing w:after="0" w:line="360" w:lineRule="auto"/>
        <w:ind w:firstLine="480" w:firstLineChars="200"/>
        <w:jc w:val="both"/>
        <w:rPr>
          <w:rFonts w:hint="eastAsia" w:ascii="宋体" w:hAnsi="宋体" w:eastAsia="宋体" w:cs="@仿宋_GB2312"/>
          <w:kern w:val="2"/>
          <w:sz w:val="24"/>
          <w:szCs w:val="20"/>
          <w:highlight w:val="none"/>
          <w:lang w:eastAsia="zh-CN"/>
        </w:rPr>
      </w:pPr>
      <w:r>
        <w:rPr>
          <w:rFonts w:hint="eastAsia" w:ascii="宋体" w:hAnsi="宋体" w:eastAsia="宋体" w:cs="@仿宋_GB2312"/>
          <w:kern w:val="2"/>
          <w:sz w:val="24"/>
          <w:szCs w:val="20"/>
          <w:highlight w:val="none"/>
          <w:lang w:eastAsia="zh-CN"/>
        </w:rPr>
        <w:t>根据《</w:t>
      </w:r>
      <w:r>
        <w:rPr>
          <w:rFonts w:hint="eastAsia" w:ascii="宋体" w:hAnsi="宋体" w:eastAsia="宋体" w:cs="@仿宋_GB2312"/>
          <w:kern w:val="2"/>
          <w:sz w:val="24"/>
          <w:szCs w:val="20"/>
          <w:highlight w:val="none"/>
          <w:lang w:val="en-US" w:eastAsia="zh-CN"/>
        </w:rPr>
        <w:t>关于推进解决政府采购异常低价问题的通知</w:t>
      </w:r>
      <w:r>
        <w:rPr>
          <w:rFonts w:hint="eastAsia" w:ascii="宋体" w:hAnsi="宋体" w:eastAsia="宋体" w:cs="@仿宋_GB2312"/>
          <w:kern w:val="2"/>
          <w:sz w:val="24"/>
          <w:szCs w:val="20"/>
          <w:highlight w:val="none"/>
          <w:lang w:eastAsia="zh-CN"/>
        </w:rPr>
        <w:t>》（财库〔</w:t>
      </w:r>
      <w:r>
        <w:rPr>
          <w:rFonts w:ascii="宋体" w:hAnsi="宋体" w:eastAsia="宋体" w:cs="@仿宋_GB2312"/>
          <w:kern w:val="2"/>
          <w:sz w:val="24"/>
          <w:szCs w:val="20"/>
          <w:highlight w:val="none"/>
          <w:lang w:eastAsia="zh-CN"/>
        </w:rPr>
        <w:t>202</w:t>
      </w:r>
      <w:r>
        <w:rPr>
          <w:rFonts w:hint="eastAsia" w:ascii="宋体" w:hAnsi="宋体" w:eastAsia="宋体" w:cs="@仿宋_GB2312"/>
          <w:kern w:val="2"/>
          <w:sz w:val="24"/>
          <w:szCs w:val="20"/>
          <w:highlight w:val="none"/>
          <w:lang w:val="en-US" w:eastAsia="zh-CN"/>
        </w:rPr>
        <w:t>6</w:t>
      </w:r>
      <w:r>
        <w:rPr>
          <w:rFonts w:ascii="宋体" w:hAnsi="宋体" w:eastAsia="宋体" w:cs="@仿宋_GB2312"/>
          <w:kern w:val="2"/>
          <w:sz w:val="24"/>
          <w:szCs w:val="20"/>
          <w:highlight w:val="none"/>
          <w:lang w:eastAsia="zh-CN"/>
        </w:rPr>
        <w:t>〕</w:t>
      </w:r>
      <w:r>
        <w:rPr>
          <w:rFonts w:hint="eastAsia" w:ascii="宋体" w:hAnsi="宋体" w:eastAsia="宋体" w:cs="@仿宋_GB2312"/>
          <w:kern w:val="2"/>
          <w:sz w:val="24"/>
          <w:szCs w:val="20"/>
          <w:highlight w:val="none"/>
          <w:lang w:val="en-US" w:eastAsia="zh-CN"/>
        </w:rPr>
        <w:t>2</w:t>
      </w:r>
      <w:r>
        <w:rPr>
          <w:rFonts w:ascii="宋体" w:hAnsi="宋体" w:eastAsia="宋体" w:cs="@仿宋_GB2312"/>
          <w:kern w:val="2"/>
          <w:sz w:val="24"/>
          <w:szCs w:val="20"/>
          <w:highlight w:val="none"/>
          <w:lang w:eastAsia="zh-CN"/>
        </w:rPr>
        <w:t>号</w:t>
      </w:r>
      <w:r>
        <w:rPr>
          <w:rFonts w:hint="eastAsia" w:ascii="宋体" w:hAnsi="宋体" w:eastAsia="宋体" w:cs="@仿宋_GB2312"/>
          <w:kern w:val="2"/>
          <w:sz w:val="24"/>
          <w:szCs w:val="20"/>
          <w:highlight w:val="none"/>
          <w:lang w:eastAsia="zh-CN"/>
        </w:rPr>
        <w:t>），</w:t>
      </w:r>
      <w:r>
        <w:rPr>
          <w:rFonts w:hint="eastAsia" w:ascii="宋体" w:hAnsi="宋体" w:eastAsia="宋体" w:cs="@仿宋_GB2312"/>
          <w:kern w:val="2"/>
          <w:sz w:val="24"/>
          <w:szCs w:val="20"/>
          <w:highlight w:val="none"/>
          <w:lang w:val="en-US" w:eastAsia="zh-CN"/>
        </w:rPr>
        <w:t>采购人可以结合具体项目实际情况，提高上述</w:t>
      </w:r>
      <w:r>
        <w:rPr>
          <w:rFonts w:hint="eastAsia" w:ascii="宋体" w:hAnsi="宋体" w:eastAsia="宋体" w:cs="Times New Roman"/>
          <w:kern w:val="2"/>
          <w:sz w:val="24"/>
          <w:szCs w:val="20"/>
          <w:highlight w:val="none"/>
          <w:lang w:val="en-US" w:eastAsia="zh-CN"/>
        </w:rPr>
        <w:t>评审标准</w:t>
      </w:r>
      <w:r>
        <w:rPr>
          <w:rFonts w:hint="eastAsia" w:ascii="宋体" w:hAnsi="宋体" w:eastAsia="宋体" w:cs="@仿宋_GB2312"/>
          <w:kern w:val="2"/>
          <w:sz w:val="24"/>
          <w:szCs w:val="20"/>
          <w:highlight w:val="none"/>
          <w:lang w:val="en-US" w:eastAsia="zh-CN"/>
        </w:rPr>
        <w:t>第（1）项至第（3）项中的数值标准，但是最高不得超过65%。</w:t>
      </w:r>
    </w:p>
    <w:p w14:paraId="16CD3389">
      <w:pPr>
        <w:spacing w:after="0" w:line="360" w:lineRule="auto"/>
        <w:ind w:firstLine="480" w:firstLineChars="200"/>
        <w:jc w:val="both"/>
        <w:rPr>
          <w:rFonts w:hint="eastAsia" w:ascii="宋体" w:hAnsi="宋体" w:eastAsia="宋体" w:cs="Arial"/>
          <w:kern w:val="2"/>
          <w:sz w:val="24"/>
          <w:szCs w:val="20"/>
          <w:highlight w:val="none"/>
          <w:lang w:val="en-US" w:eastAsia="zh-CN"/>
        </w:rPr>
      </w:pPr>
      <w:r>
        <w:rPr>
          <w:rFonts w:hint="eastAsia" w:ascii="宋体" w:hAnsi="宋体" w:eastAsia="宋体" w:cs="Arial"/>
          <w:kern w:val="2"/>
          <w:sz w:val="24"/>
          <w:szCs w:val="20"/>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eastAsia="@仿宋_GB2312" w:cs="Arial"/>
          <w:kern w:val="2"/>
          <w:sz w:val="24"/>
          <w:szCs w:val="20"/>
          <w:highlight w:val="none"/>
          <w:lang w:val="en-US" w:eastAsia="zh-CN"/>
        </w:rPr>
        <w:t>（3）</w:t>
      </w:r>
      <w:r>
        <w:rPr>
          <w:rFonts w:hint="eastAsia" w:ascii="宋体" w:hAnsi="宋体" w:eastAsia="宋体" w:cs="Arial"/>
          <w:kern w:val="2"/>
          <w:sz w:val="24"/>
          <w:szCs w:val="20"/>
          <w:highlight w:val="none"/>
          <w:lang w:val="en-US" w:eastAsia="zh-CN"/>
        </w:rPr>
        <w:t>项情形，投标人已随投标文件一并提交相关书面说明及必要的证明材料的，在评审现场可不再重复提交。</w:t>
      </w:r>
    </w:p>
    <w:p w14:paraId="63A5C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2"/>
          <w:sz w:val="24"/>
          <w:highlight w:val="none"/>
          <w:lang w:val="en-US" w:eastAsia="zh-CN" w:bidi="ar-SA"/>
        </w:rPr>
      </w:pPr>
      <w:r>
        <w:rPr>
          <w:rFonts w:hint="eastAsia" w:ascii="宋体" w:hAnsi="宋体" w:eastAsia="宋体" w:cs="Arial"/>
          <w:kern w:val="2"/>
          <w:sz w:val="24"/>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kern w:val="2"/>
          <w:sz w:val="24"/>
          <w:highlight w:val="none"/>
          <w:lang w:val="en-US" w:eastAsia="zh-CN" w:bidi="ar-SA"/>
        </w:rPr>
        <w:t>无效投标</w:t>
      </w:r>
      <w:r>
        <w:rPr>
          <w:rFonts w:hint="eastAsia" w:ascii="宋体" w:hAnsi="宋体" w:eastAsia="宋体" w:cs="Arial"/>
          <w:kern w:val="2"/>
          <w:sz w:val="24"/>
          <w:highlight w:val="none"/>
          <w:lang w:val="en-US" w:eastAsia="zh-CN" w:bidi="ar-SA"/>
        </w:rPr>
        <w:t>处理。</w:t>
      </w:r>
    </w:p>
    <w:p w14:paraId="349D02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2"/>
          <w:sz w:val="24"/>
          <w:highlight w:val="none"/>
          <w:lang w:val="en-US" w:eastAsia="zh-CN" w:bidi="ar-SA"/>
        </w:rPr>
      </w:pPr>
      <w:r>
        <w:rPr>
          <w:rFonts w:hint="eastAsia" w:ascii="宋体" w:hAnsi="宋体" w:eastAsia="宋体" w:cs="Arial"/>
          <w:kern w:val="2"/>
          <w:sz w:val="24"/>
          <w:highlight w:val="none"/>
          <w:lang w:val="en-US" w:eastAsia="zh-CN" w:bidi="ar-SA"/>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375C5E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Arial"/>
          <w:kern w:val="2"/>
          <w:sz w:val="24"/>
          <w:highlight w:val="none"/>
          <w:lang w:val="en-US" w:eastAsia="zh-CN" w:bidi="ar-SA"/>
        </w:rPr>
      </w:pPr>
    </w:p>
    <w:p w14:paraId="64F6A7C5">
      <w:pPr>
        <w:pStyle w:val="2"/>
        <w:rPr>
          <w:rFonts w:hint="eastAsia" w:ascii="宋体" w:hAnsi="宋体" w:eastAsia="宋体" w:cs="Arial"/>
          <w:kern w:val="2"/>
          <w:sz w:val="24"/>
          <w:highlight w:val="none"/>
          <w:lang w:val="en-US" w:eastAsia="zh-CN" w:bidi="ar-SA"/>
        </w:rPr>
      </w:pPr>
    </w:p>
    <w:p w14:paraId="1CBB36D8">
      <w:pPr>
        <w:pStyle w:val="2"/>
        <w:rPr>
          <w:rFonts w:hint="eastAsia" w:ascii="宋体" w:hAnsi="宋体" w:eastAsia="宋体" w:cs="Arial"/>
          <w:kern w:val="2"/>
          <w:sz w:val="24"/>
          <w:highlight w:val="none"/>
          <w:lang w:val="en-US" w:eastAsia="zh-CN" w:bidi="ar-SA"/>
        </w:rPr>
      </w:pPr>
    </w:p>
    <w:p w14:paraId="10343AD7">
      <w:pPr>
        <w:pStyle w:val="2"/>
        <w:rPr>
          <w:rFonts w:hint="eastAsia" w:ascii="宋体" w:hAnsi="宋体" w:eastAsia="宋体" w:cs="Arial"/>
          <w:kern w:val="2"/>
          <w:sz w:val="24"/>
          <w:highlight w:val="none"/>
          <w:lang w:val="en-US" w:eastAsia="zh-CN" w:bidi="ar-SA"/>
        </w:rPr>
      </w:pPr>
    </w:p>
    <w:p w14:paraId="25510C45">
      <w:pPr>
        <w:pStyle w:val="2"/>
        <w:rPr>
          <w:rFonts w:hint="eastAsia" w:ascii="宋体" w:hAnsi="宋体" w:eastAsia="宋体" w:cs="Arial"/>
          <w:kern w:val="2"/>
          <w:sz w:val="24"/>
          <w:highlight w:val="none"/>
          <w:lang w:val="en-US" w:eastAsia="zh-CN" w:bidi="ar-SA"/>
        </w:rPr>
      </w:pPr>
    </w:p>
    <w:p w14:paraId="42440EDD">
      <w:pPr>
        <w:pStyle w:val="2"/>
        <w:rPr>
          <w:rFonts w:hint="eastAsia" w:ascii="宋体" w:hAnsi="宋体" w:eastAsia="宋体" w:cs="Arial"/>
          <w:kern w:val="2"/>
          <w:sz w:val="24"/>
          <w:highlight w:val="none"/>
          <w:lang w:val="en-US" w:eastAsia="zh-CN" w:bidi="ar-SA"/>
        </w:rPr>
      </w:pPr>
    </w:p>
    <w:p w14:paraId="61C185ED">
      <w:pPr>
        <w:pStyle w:val="2"/>
        <w:rPr>
          <w:rFonts w:hint="eastAsia" w:ascii="宋体" w:hAnsi="宋体" w:eastAsia="宋体" w:cs="Arial"/>
          <w:kern w:val="2"/>
          <w:sz w:val="24"/>
          <w:highlight w:val="none"/>
          <w:lang w:val="en-US" w:eastAsia="zh-CN" w:bidi="ar-SA"/>
        </w:rPr>
      </w:pPr>
    </w:p>
    <w:p w14:paraId="5C9742DF">
      <w:pPr>
        <w:pStyle w:val="2"/>
        <w:rPr>
          <w:rFonts w:hint="eastAsia" w:ascii="宋体" w:hAnsi="宋体" w:eastAsia="宋体" w:cs="Arial"/>
          <w:kern w:val="2"/>
          <w:sz w:val="24"/>
          <w:highlight w:val="none"/>
          <w:lang w:val="en-US" w:eastAsia="zh-CN" w:bidi="ar-SA"/>
        </w:rPr>
      </w:pPr>
    </w:p>
    <w:p w14:paraId="15622577">
      <w:pPr>
        <w:pStyle w:val="2"/>
        <w:rPr>
          <w:rFonts w:hint="eastAsia" w:ascii="宋体" w:hAnsi="宋体" w:eastAsia="宋体" w:cs="Arial"/>
          <w:kern w:val="2"/>
          <w:sz w:val="24"/>
          <w:highlight w:val="none"/>
          <w:lang w:val="en-US" w:eastAsia="zh-CN" w:bidi="ar-SA"/>
        </w:rPr>
      </w:pPr>
    </w:p>
    <w:p w14:paraId="7951D838">
      <w:pPr>
        <w:pStyle w:val="2"/>
        <w:rPr>
          <w:rFonts w:hint="eastAsia" w:ascii="宋体" w:hAnsi="宋体" w:eastAsia="宋体" w:cs="Arial"/>
          <w:kern w:val="2"/>
          <w:sz w:val="24"/>
          <w:highlight w:val="none"/>
          <w:lang w:val="en-US" w:eastAsia="zh-CN" w:bidi="ar-SA"/>
        </w:rPr>
      </w:pPr>
    </w:p>
    <w:p w14:paraId="410BAA32">
      <w:pPr>
        <w:pStyle w:val="2"/>
        <w:rPr>
          <w:rFonts w:hint="eastAsia" w:ascii="宋体" w:hAnsi="宋体" w:eastAsia="宋体" w:cs="Arial"/>
          <w:kern w:val="2"/>
          <w:sz w:val="24"/>
          <w:highlight w:val="none"/>
          <w:lang w:val="en-US" w:eastAsia="zh-CN" w:bidi="ar-SA"/>
        </w:rPr>
      </w:pPr>
    </w:p>
    <w:p w14:paraId="0C7BA8DE">
      <w:pPr>
        <w:pStyle w:val="2"/>
        <w:rPr>
          <w:rFonts w:hint="eastAsia" w:ascii="宋体" w:hAnsi="宋体" w:eastAsia="宋体" w:cs="Arial"/>
          <w:kern w:val="2"/>
          <w:sz w:val="24"/>
          <w:highlight w:val="none"/>
          <w:lang w:val="en-US" w:eastAsia="zh-CN" w:bidi="ar-SA"/>
        </w:rPr>
      </w:pPr>
    </w:p>
    <w:p w14:paraId="3BB0FBA9">
      <w:pPr>
        <w:pStyle w:val="2"/>
        <w:rPr>
          <w:rFonts w:hint="eastAsia" w:ascii="宋体" w:hAnsi="宋体" w:eastAsia="宋体" w:cs="Arial"/>
          <w:kern w:val="2"/>
          <w:sz w:val="24"/>
          <w:highlight w:val="none"/>
          <w:lang w:val="en-US" w:eastAsia="zh-CN" w:bidi="ar-SA"/>
        </w:rPr>
      </w:pPr>
    </w:p>
    <w:p w14:paraId="0B2B6A3B">
      <w:pPr>
        <w:pStyle w:val="2"/>
        <w:rPr>
          <w:rFonts w:hint="eastAsia" w:ascii="宋体" w:hAnsi="宋体" w:eastAsia="宋体" w:cs="Arial"/>
          <w:kern w:val="2"/>
          <w:sz w:val="24"/>
          <w:highlight w:val="none"/>
          <w:lang w:val="en-US" w:eastAsia="zh-CN" w:bidi="ar-SA"/>
        </w:rPr>
      </w:pPr>
    </w:p>
    <w:p w14:paraId="3476F9B5">
      <w:pPr>
        <w:pStyle w:val="2"/>
        <w:rPr>
          <w:rFonts w:hint="eastAsia" w:ascii="宋体" w:hAnsi="宋体" w:eastAsia="宋体" w:cs="Arial"/>
          <w:kern w:val="2"/>
          <w:sz w:val="24"/>
          <w:highlight w:val="none"/>
          <w:lang w:val="en-US" w:eastAsia="zh-CN" w:bidi="ar-SA"/>
        </w:rPr>
      </w:pPr>
    </w:p>
    <w:p w14:paraId="6E9A023E">
      <w:pPr>
        <w:pStyle w:val="2"/>
        <w:rPr>
          <w:rFonts w:hint="eastAsia" w:ascii="宋体" w:hAnsi="宋体" w:eastAsia="宋体" w:cs="Arial"/>
          <w:kern w:val="2"/>
          <w:sz w:val="24"/>
          <w:highlight w:val="none"/>
          <w:lang w:val="en-US" w:eastAsia="zh-CN" w:bidi="ar-SA"/>
        </w:rPr>
      </w:pPr>
    </w:p>
    <w:p w14:paraId="171552F3">
      <w:pPr>
        <w:pStyle w:val="2"/>
        <w:rPr>
          <w:rFonts w:hint="eastAsia" w:ascii="宋体" w:hAnsi="宋体" w:eastAsia="宋体" w:cs="Arial"/>
          <w:kern w:val="2"/>
          <w:sz w:val="24"/>
          <w:highlight w:val="none"/>
          <w:lang w:val="en-US" w:eastAsia="zh-CN" w:bidi="ar-SA"/>
        </w:rPr>
      </w:pPr>
    </w:p>
    <w:p w14:paraId="6D9D358E">
      <w:pPr>
        <w:pStyle w:val="2"/>
        <w:rPr>
          <w:rFonts w:hint="eastAsia" w:ascii="宋体" w:hAnsi="宋体" w:eastAsia="宋体" w:cs="Arial"/>
          <w:kern w:val="2"/>
          <w:sz w:val="24"/>
          <w:highlight w:val="none"/>
          <w:lang w:val="en-US" w:eastAsia="zh-CN" w:bidi="ar-SA"/>
        </w:rPr>
      </w:pPr>
    </w:p>
    <w:p w14:paraId="1A209C61">
      <w:pPr>
        <w:pStyle w:val="2"/>
        <w:rPr>
          <w:rFonts w:hint="eastAsia" w:ascii="宋体" w:hAnsi="宋体" w:eastAsia="宋体" w:cs="Arial"/>
          <w:kern w:val="2"/>
          <w:sz w:val="24"/>
          <w:highlight w:val="none"/>
          <w:lang w:val="en-US" w:eastAsia="zh-CN" w:bidi="ar-SA"/>
        </w:rPr>
      </w:pPr>
    </w:p>
    <w:p w14:paraId="0BEE83F5">
      <w:pPr>
        <w:pStyle w:val="2"/>
        <w:rPr>
          <w:rFonts w:hint="eastAsia" w:ascii="宋体" w:hAnsi="宋体" w:eastAsia="宋体" w:cs="Arial"/>
          <w:kern w:val="2"/>
          <w:sz w:val="24"/>
          <w:highlight w:val="none"/>
          <w:lang w:val="en-US" w:eastAsia="zh-CN" w:bidi="ar-SA"/>
        </w:rPr>
      </w:pPr>
    </w:p>
    <w:p w14:paraId="18153460">
      <w:pPr>
        <w:pStyle w:val="2"/>
        <w:rPr>
          <w:rFonts w:hint="eastAsia" w:ascii="宋体" w:hAnsi="宋体" w:eastAsia="宋体" w:cs="Arial"/>
          <w:kern w:val="2"/>
          <w:sz w:val="24"/>
          <w:highlight w:val="none"/>
          <w:lang w:val="en-US" w:eastAsia="zh-CN" w:bidi="ar-SA"/>
        </w:rPr>
      </w:pPr>
    </w:p>
    <w:p w14:paraId="3A4C41E9">
      <w:pPr>
        <w:pStyle w:val="2"/>
        <w:rPr>
          <w:rFonts w:hint="eastAsia" w:ascii="宋体" w:hAnsi="宋体" w:eastAsia="宋体" w:cs="Arial"/>
          <w:kern w:val="2"/>
          <w:sz w:val="24"/>
          <w:highlight w:val="none"/>
          <w:lang w:val="en-US" w:eastAsia="zh-CN" w:bidi="ar-SA"/>
        </w:rPr>
      </w:pPr>
    </w:p>
    <w:p w14:paraId="257D12A1">
      <w:pPr>
        <w:pStyle w:val="2"/>
        <w:rPr>
          <w:rFonts w:hint="eastAsia" w:ascii="宋体" w:hAnsi="宋体" w:eastAsia="宋体" w:cs="Arial"/>
          <w:kern w:val="2"/>
          <w:sz w:val="24"/>
          <w:highlight w:val="none"/>
          <w:lang w:val="en-US" w:eastAsia="zh-CN" w:bidi="ar-SA"/>
        </w:rPr>
      </w:pPr>
    </w:p>
    <w:p w14:paraId="1E190C25">
      <w:pPr>
        <w:pStyle w:val="2"/>
        <w:rPr>
          <w:rFonts w:hint="eastAsia" w:ascii="宋体" w:hAnsi="宋体" w:eastAsia="宋体" w:cs="Arial"/>
          <w:kern w:val="2"/>
          <w:sz w:val="24"/>
          <w:highlight w:val="none"/>
          <w:lang w:val="en-US" w:eastAsia="zh-CN" w:bidi="ar-SA"/>
        </w:rPr>
      </w:pPr>
    </w:p>
    <w:p w14:paraId="7794219E">
      <w:pPr>
        <w:pStyle w:val="2"/>
        <w:rPr>
          <w:rFonts w:hint="eastAsia" w:ascii="宋体" w:hAnsi="宋体" w:eastAsia="宋体" w:cs="Arial"/>
          <w:kern w:val="2"/>
          <w:sz w:val="24"/>
          <w:highlight w:val="none"/>
          <w:lang w:val="en-US" w:eastAsia="zh-CN" w:bidi="ar-SA"/>
        </w:rPr>
      </w:pPr>
    </w:p>
    <w:p w14:paraId="6B5693C5">
      <w:pPr>
        <w:pStyle w:val="2"/>
        <w:rPr>
          <w:rFonts w:hint="eastAsia" w:ascii="宋体" w:hAnsi="宋体" w:eastAsia="宋体" w:cs="Arial"/>
          <w:kern w:val="2"/>
          <w:sz w:val="24"/>
          <w:highlight w:val="none"/>
          <w:lang w:val="en-US" w:eastAsia="zh-CN" w:bidi="ar-SA"/>
        </w:rPr>
      </w:pPr>
    </w:p>
    <w:p w14:paraId="55D17EEC">
      <w:pPr>
        <w:pStyle w:val="2"/>
        <w:rPr>
          <w:rFonts w:hint="eastAsia" w:ascii="宋体" w:hAnsi="宋体" w:eastAsia="宋体" w:cs="Arial"/>
          <w:kern w:val="2"/>
          <w:sz w:val="24"/>
          <w:highlight w:val="none"/>
          <w:lang w:val="en-US" w:eastAsia="zh-CN" w:bidi="ar-SA"/>
        </w:rPr>
      </w:pPr>
    </w:p>
    <w:p w14:paraId="3064DB3F">
      <w:pPr>
        <w:pStyle w:val="2"/>
        <w:rPr>
          <w:rFonts w:hint="eastAsia" w:ascii="宋体" w:hAnsi="宋体" w:eastAsia="宋体" w:cs="Arial"/>
          <w:kern w:val="2"/>
          <w:sz w:val="24"/>
          <w:highlight w:val="none"/>
          <w:lang w:val="en-US" w:eastAsia="zh-CN" w:bidi="ar-SA"/>
        </w:rPr>
      </w:pPr>
    </w:p>
    <w:p w14:paraId="7E4871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b/>
          <w:color w:val="auto"/>
          <w:sz w:val="28"/>
          <w:highlight w:val="none"/>
        </w:rPr>
      </w:pPr>
      <w:r>
        <w:rPr>
          <w:rFonts w:hint="eastAsia" w:ascii="宋体" w:hAnsi="宋体" w:eastAsia="宋体"/>
          <w:color w:val="auto"/>
          <w:sz w:val="24"/>
          <w:highlight w:val="none"/>
          <w:lang w:val="en-US" w:eastAsia="zh-CN"/>
        </w:rPr>
        <w:t xml:space="preserve">      </w:t>
      </w:r>
      <w:r>
        <w:rPr>
          <w:rFonts w:hint="eastAsia" w:ascii="宋体" w:hAnsi="宋体" w:eastAsia="宋体"/>
          <w:b/>
          <w:color w:val="auto"/>
          <w:sz w:val="28"/>
          <w:highlight w:val="none"/>
        </w:rPr>
        <w:t xml:space="preserve"> 评标方法和标准（</w:t>
      </w:r>
      <w:r>
        <w:rPr>
          <w:rFonts w:hint="eastAsia" w:ascii="宋体" w:hAnsi="宋体" w:eastAsia="宋体"/>
          <w:b/>
          <w:color w:val="auto"/>
          <w:sz w:val="28"/>
          <w:highlight w:val="none"/>
          <w:lang w:eastAsia="zh-CN"/>
        </w:rPr>
        <w:t>综合</w:t>
      </w:r>
      <w:r>
        <w:rPr>
          <w:rFonts w:hint="eastAsia" w:ascii="宋体" w:hAnsi="宋体" w:eastAsia="宋体"/>
          <w:b/>
          <w:color w:val="auto"/>
          <w:sz w:val="28"/>
          <w:highlight w:val="none"/>
        </w:rPr>
        <w:t>评</w:t>
      </w:r>
      <w:r>
        <w:rPr>
          <w:rFonts w:hint="eastAsia" w:ascii="宋体" w:hAnsi="宋体" w:eastAsia="宋体"/>
          <w:b/>
          <w:color w:val="auto"/>
          <w:sz w:val="28"/>
          <w:highlight w:val="none"/>
          <w:lang w:eastAsia="zh-CN"/>
        </w:rPr>
        <w:t>分</w:t>
      </w:r>
      <w:r>
        <w:rPr>
          <w:rFonts w:hint="eastAsia" w:ascii="宋体" w:hAnsi="宋体" w:eastAsia="宋体"/>
          <w:b/>
          <w:color w:val="auto"/>
          <w:sz w:val="28"/>
          <w:highlight w:val="none"/>
        </w:rPr>
        <w:t>法）</w:t>
      </w:r>
    </w:p>
    <w:p w14:paraId="4EDFD10F">
      <w:pPr>
        <w:pageBreakBefore w:val="0"/>
        <w:kinsoku/>
        <w:overflowPunct/>
        <w:topLinePunct w:val="0"/>
        <w:bidi w:val="0"/>
        <w:adjustRightInd w:val="0"/>
        <w:snapToGrid w:val="0"/>
        <w:spacing w:after="0" w:line="360" w:lineRule="auto"/>
        <w:ind w:firstLine="437"/>
        <w:textAlignment w:val="auto"/>
        <w:outlineLvl w:val="1"/>
        <w:rPr>
          <w:rFonts w:hint="eastAsia" w:ascii="宋体" w:hAnsi="宋体" w:eastAsia="宋体"/>
          <w:b/>
          <w:color w:val="auto"/>
          <w:sz w:val="24"/>
          <w:highlight w:val="none"/>
        </w:rPr>
      </w:pPr>
    </w:p>
    <w:p w14:paraId="2254F54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本项目综合评分满分为100分，其中：技术资信分值占总分值的权重为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u w:val="single"/>
        </w:rPr>
        <w:t xml:space="preserve"> </w:t>
      </w:r>
      <w:r>
        <w:rPr>
          <w:rFonts w:ascii="宋体" w:hAnsi="宋体" w:eastAsia="宋体"/>
          <w:color w:val="auto"/>
          <w:sz w:val="24"/>
          <w:highlight w:val="none"/>
        </w:rPr>
        <w:t>%，价格分值占总分值的权重为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p w14:paraId="003BBE0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eastAsia="宋体"/>
          <w:color w:val="auto"/>
          <w:sz w:val="24"/>
          <w:highlight w:val="none"/>
        </w:rPr>
      </w:pPr>
    </w:p>
    <w:tbl>
      <w:tblPr>
        <w:tblStyle w:val="20"/>
        <w:tblW w:w="8522" w:type="dxa"/>
        <w:jc w:val="center"/>
        <w:tblBorders>
          <w:top w:val="none" w:color="auto" w:sz="12" w:space="0"/>
          <w:left w:val="none" w:color="auto" w:sz="12" w:space="0"/>
          <w:bottom w:val="none" w:color="auto" w:sz="12" w:space="0"/>
          <w:right w:val="none" w:color="auto" w:sz="12" w:space="0"/>
          <w:insideH w:val="none" w:color="auto" w:sz="6" w:space="0"/>
          <w:insideV w:val="none" w:color="auto" w:sz="6" w:space="0"/>
        </w:tblBorders>
        <w:tblLayout w:type="autofit"/>
        <w:tblCellMar>
          <w:top w:w="0" w:type="dxa"/>
          <w:left w:w="108" w:type="dxa"/>
          <w:bottom w:w="0" w:type="dxa"/>
          <w:right w:w="108" w:type="dxa"/>
        </w:tblCellMar>
      </w:tblPr>
      <w:tblGrid>
        <w:gridCol w:w="1201"/>
        <w:gridCol w:w="4914"/>
        <w:gridCol w:w="1628"/>
        <w:gridCol w:w="779"/>
      </w:tblGrid>
      <w:tr w14:paraId="5C0571ED">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tblHeader/>
          <w:jc w:val="center"/>
        </w:trPr>
        <w:tc>
          <w:tcPr>
            <w:tcW w:w="1201"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2EEF9222">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hint="eastAsia" w:cs="仿宋_GB2312" w:asciiTheme="minorEastAsia" w:hAnsiTheme="minorEastAsia" w:eastAsiaTheme="minorEastAsia"/>
                <w:b/>
                <w:color w:val="000000"/>
                <w:kern w:val="0"/>
                <w:sz w:val="21"/>
                <w:szCs w:val="21"/>
                <w:shd w:val="clear" w:color="080000" w:fill="FFFFFF"/>
              </w:rPr>
              <w:t>评分因素</w:t>
            </w:r>
          </w:p>
        </w:tc>
        <w:tc>
          <w:tcPr>
            <w:tcW w:w="4914"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FFA169E">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cs="仿宋_GB2312" w:asciiTheme="minorEastAsia" w:hAnsiTheme="minorEastAsia" w:eastAsiaTheme="minorEastAsia"/>
                <w:b/>
                <w:color w:val="000000"/>
                <w:kern w:val="0"/>
                <w:sz w:val="21"/>
                <w:szCs w:val="21"/>
                <w:shd w:val="clear" w:color="080000" w:fill="FFFFFF"/>
              </w:rPr>
              <w:t>评分标准</w:t>
            </w:r>
          </w:p>
        </w:tc>
        <w:tc>
          <w:tcPr>
            <w:tcW w:w="1628"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5A77BAB6">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hint="eastAsia" w:cs="仿宋_GB2312" w:asciiTheme="minorEastAsia" w:hAnsiTheme="minorEastAsia" w:eastAsiaTheme="minorEastAsia"/>
                <w:b/>
                <w:color w:val="000000"/>
                <w:kern w:val="0"/>
                <w:sz w:val="21"/>
                <w:szCs w:val="21"/>
                <w:shd w:val="clear" w:color="080000" w:fill="FFFFFF"/>
              </w:rPr>
              <w:t>所需提供材料</w:t>
            </w:r>
          </w:p>
        </w:tc>
        <w:tc>
          <w:tcPr>
            <w:tcW w:w="779"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9618A2C">
            <w:pPr>
              <w:adjustRightInd w:val="0"/>
              <w:snapToGrid w:val="0"/>
              <w:spacing w:before="100" w:beforeAutospacing="1" w:after="100" w:afterAutospacing="1"/>
              <w:ind w:left="0" w:leftChars="0" w:right="0" w:rightChars="0" w:firstLine="0" w:firstLineChars="0"/>
              <w:jc w:val="center"/>
              <w:rPr>
                <w:rFonts w:cs="仿宋_GB2312" w:asciiTheme="minorEastAsia" w:hAnsiTheme="minorEastAsia" w:eastAsiaTheme="minorEastAsia"/>
                <w:b/>
                <w:color w:val="000000"/>
                <w:kern w:val="0"/>
                <w:sz w:val="21"/>
                <w:szCs w:val="21"/>
                <w:shd w:val="clear" w:color="080000" w:fill="FFFFFF"/>
              </w:rPr>
            </w:pPr>
            <w:r>
              <w:rPr>
                <w:rFonts w:hint="eastAsia" w:cs="仿宋_GB2312" w:asciiTheme="minorEastAsia" w:hAnsiTheme="minorEastAsia" w:eastAsiaTheme="minorEastAsia"/>
                <w:b/>
                <w:color w:val="000000"/>
                <w:kern w:val="0"/>
                <w:sz w:val="21"/>
                <w:szCs w:val="21"/>
                <w:shd w:val="clear" w:color="080000" w:fill="FFFFFF"/>
              </w:rPr>
              <w:t>分值</w:t>
            </w:r>
          </w:p>
        </w:tc>
      </w:tr>
      <w:tr w14:paraId="4C938FD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08F6496">
            <w:pPr>
              <w:snapToGrid w:val="0"/>
              <w:spacing w:line="240" w:lineRule="auto"/>
              <w:ind w:left="0" w:leftChars="0" w:right="0" w:rightChars="0" w:firstLine="0" w:firstLineChars="0"/>
              <w:jc w:val="center"/>
              <w:rPr>
                <w:rFonts w:ascii="宋体" w:eastAsia="宋体" w:hAnsiTheme="minorEastAsia"/>
                <w:b/>
                <w:sz w:val="21"/>
                <w:szCs w:val="21"/>
              </w:rPr>
            </w:pPr>
            <w:r>
              <w:rPr>
                <w:rFonts w:hint="eastAsia" w:ascii="宋体" w:eastAsia="宋体" w:hAnsiTheme="minorEastAsia"/>
                <w:b/>
                <w:sz w:val="21"/>
                <w:szCs w:val="21"/>
              </w:rPr>
              <w:t>人员配备</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F84A41">
            <w:pPr>
              <w:pStyle w:val="72"/>
              <w:widowControl/>
              <w:numPr>
                <w:ilvl w:val="0"/>
                <w:numId w:val="5"/>
              </w:numPr>
              <w:snapToGrid w:val="0"/>
              <w:spacing w:beforeAutospacing="0" w:afterAutospacing="0"/>
              <w:ind w:left="0" w:leftChars="0" w:right="0" w:rightChars="0" w:firstLine="0" w:firstLineChars="0"/>
              <w:jc w:val="left"/>
              <w:rPr>
                <w:rFonts w:hint="eastAsia" w:ascii="宋体" w:eastAsia="宋体" w:cs="仿宋_GB2312" w:hAnsiTheme="minorEastAsia"/>
                <w:color w:val="000000"/>
                <w:sz w:val="21"/>
                <w:szCs w:val="21"/>
                <w:shd w:val="clear" w:color="080000" w:fill="FFFFFF"/>
                <w:lang w:val="en-US" w:eastAsia="zh-CN"/>
              </w:rPr>
            </w:pPr>
            <w:r>
              <w:rPr>
                <w:rFonts w:hint="eastAsia" w:ascii="宋体" w:eastAsia="宋体" w:cs="仿宋_GB2312" w:hAnsiTheme="minorEastAsia"/>
                <w:color w:val="000000"/>
                <w:sz w:val="21"/>
                <w:szCs w:val="21"/>
                <w:shd w:val="clear" w:color="080000" w:fill="FFFFFF"/>
                <w:lang w:val="en-US" w:eastAsia="zh-CN"/>
              </w:rPr>
              <w:t>项目负责人2 分。自2023年1月1日起，本项目的负责人具备党政机关、企事业单位、团体组织物业服务项目业绩的，每有一项得2分；业绩合同如不能反映项目负责人名称的，应同时提供业主证明材料。</w:t>
            </w:r>
          </w:p>
          <w:p w14:paraId="35B29C5C">
            <w:pPr>
              <w:pStyle w:val="72"/>
              <w:widowControl/>
              <w:numPr>
                <w:ilvl w:val="0"/>
                <w:numId w:val="5"/>
              </w:numPr>
              <w:snapToGrid w:val="0"/>
              <w:spacing w:beforeAutospacing="0" w:afterAutospacing="0"/>
              <w:ind w:left="0" w:leftChars="0" w:right="0" w:rightChars="0" w:firstLine="0" w:firstLineChars="0"/>
              <w:jc w:val="left"/>
              <w:rPr>
                <w:rFonts w:hint="eastAsia" w:ascii="宋体" w:eastAsia="宋体" w:cs="仿宋_GB2312" w:hAnsiTheme="minorEastAsia"/>
                <w:color w:val="000000"/>
                <w:sz w:val="21"/>
                <w:szCs w:val="21"/>
                <w:shd w:val="clear" w:color="080000" w:fill="FFFFFF"/>
                <w:lang w:val="en-US" w:eastAsia="zh-CN"/>
              </w:rPr>
            </w:pPr>
            <w:r>
              <w:rPr>
                <w:rFonts w:hint="eastAsia" w:ascii="宋体" w:eastAsia="宋体" w:cs="仿宋_GB2312" w:hAnsiTheme="minorEastAsia"/>
                <w:color w:val="000000"/>
                <w:sz w:val="21"/>
                <w:szCs w:val="21"/>
                <w:shd w:val="clear" w:color="080000" w:fill="FFFFFF"/>
                <w:lang w:val="en-US" w:eastAsia="zh-CN"/>
              </w:rPr>
              <w:t>保安人员3分。每有一名具备公安部门颁发的保安员证或人社部门颁发的保安员资格证书的保安人员得1分，最高得3分。需提供相关资格证书。</w:t>
            </w:r>
          </w:p>
          <w:p w14:paraId="52868BAC">
            <w:pPr>
              <w:pStyle w:val="72"/>
              <w:widowControl/>
              <w:numPr>
                <w:ilvl w:val="0"/>
                <w:numId w:val="0"/>
              </w:numPr>
              <w:snapToGrid w:val="0"/>
              <w:spacing w:beforeAutospacing="0" w:afterAutospacing="0"/>
              <w:ind w:left="0" w:leftChars="0" w:right="0" w:rightChars="0" w:firstLine="0" w:firstLineChars="0"/>
              <w:jc w:val="left"/>
              <w:rPr>
                <w:rFonts w:hint="eastAsia" w:ascii="宋体" w:eastAsia="宋体" w:cs="仿宋_GB2312" w:hAnsiTheme="minorEastAsia"/>
                <w:color w:val="000000"/>
                <w:sz w:val="21"/>
                <w:szCs w:val="21"/>
                <w:shd w:val="clear" w:color="080000" w:fill="FFFFFF"/>
                <w:lang w:val="en-US" w:eastAsia="zh-CN"/>
              </w:rPr>
            </w:pPr>
            <w:r>
              <w:rPr>
                <w:rFonts w:hint="eastAsia" w:ascii="宋体" w:eastAsia="宋体" w:cs="仿宋_GB2312" w:hAnsiTheme="minorEastAsia"/>
                <w:color w:val="000000"/>
                <w:sz w:val="21"/>
                <w:szCs w:val="21"/>
                <w:shd w:val="clear" w:color="080000" w:fill="FFFFFF"/>
                <w:lang w:val="en-US" w:eastAsia="zh-CN"/>
              </w:rPr>
              <w:t>3</w:t>
            </w:r>
            <w:r>
              <w:rPr>
                <w:rFonts w:hint="eastAsia" w:ascii="宋体" w:eastAsia="宋体" w:cs="仿宋_GB2312" w:hAnsiTheme="minorEastAsia"/>
                <w:color w:val="000000"/>
                <w:sz w:val="21"/>
                <w:szCs w:val="21"/>
                <w:shd w:val="clear" w:color="080000" w:fill="FFFFFF"/>
              </w:rPr>
              <w:t>、电工人员</w:t>
            </w:r>
            <w:r>
              <w:rPr>
                <w:rFonts w:hint="eastAsia" w:ascii="宋体" w:eastAsia="宋体" w:cs="仿宋_GB2312" w:hAnsiTheme="minorEastAsia"/>
                <w:color w:val="000000"/>
                <w:sz w:val="21"/>
                <w:szCs w:val="21"/>
                <w:shd w:val="clear" w:color="080000" w:fill="FFFFFF"/>
                <w:lang w:val="en-US" w:eastAsia="zh-CN"/>
              </w:rPr>
              <w:t>2</w:t>
            </w:r>
            <w:r>
              <w:rPr>
                <w:rFonts w:hint="eastAsia" w:ascii="宋体" w:eastAsia="宋体" w:cs="仿宋_GB2312" w:hAnsiTheme="minorEastAsia"/>
                <w:color w:val="000000"/>
                <w:sz w:val="21"/>
                <w:szCs w:val="21"/>
                <w:shd w:val="clear" w:color="080000" w:fill="FFFFFF"/>
              </w:rPr>
              <w:t>分。每有一名专业电工人员得</w:t>
            </w:r>
            <w:r>
              <w:rPr>
                <w:rFonts w:hint="eastAsia" w:ascii="宋体" w:eastAsia="宋体" w:cs="仿宋_GB2312" w:hAnsiTheme="minorEastAsia"/>
                <w:color w:val="000000"/>
                <w:sz w:val="21"/>
                <w:szCs w:val="21"/>
                <w:shd w:val="clear" w:color="080000" w:fill="FFFFFF"/>
                <w:lang w:val="en-US" w:eastAsia="zh-CN"/>
              </w:rPr>
              <w:t>2</w:t>
            </w:r>
            <w:r>
              <w:rPr>
                <w:rFonts w:hint="eastAsia" w:ascii="宋体" w:eastAsia="宋体" w:cs="仿宋_GB2312" w:hAnsiTheme="minorEastAsia"/>
                <w:color w:val="000000"/>
                <w:sz w:val="21"/>
                <w:szCs w:val="21"/>
                <w:shd w:val="clear" w:color="080000" w:fill="FFFFFF"/>
              </w:rPr>
              <w:t>分。</w:t>
            </w:r>
            <w:r>
              <w:rPr>
                <w:rFonts w:hint="eastAsia" w:ascii="宋体" w:eastAsia="宋体" w:cs="仿宋_GB2312" w:hAnsiTheme="minorEastAsia"/>
                <w:color w:val="000000"/>
                <w:sz w:val="21"/>
                <w:szCs w:val="21"/>
                <w:shd w:val="clear" w:color="080000" w:fill="FFFFFF"/>
                <w:lang w:val="en-US" w:eastAsia="zh-CN"/>
              </w:rPr>
              <w:t>需提供应急管理部门颁发的电工特种作业操作证或人社部门颁发的电工职业资格证书。</w:t>
            </w:r>
          </w:p>
          <w:p w14:paraId="30036178">
            <w:pPr>
              <w:pStyle w:val="72"/>
              <w:widowControl/>
              <w:snapToGrid w:val="0"/>
              <w:spacing w:beforeAutospacing="0" w:afterAutospacing="0"/>
              <w:ind w:left="0" w:leftChars="0" w:right="0" w:rightChars="0" w:firstLine="0" w:firstLineChars="0"/>
              <w:jc w:val="left"/>
              <w:rPr>
                <w:rFonts w:hint="eastAsia" w:ascii="宋体" w:hAnsi="宋体" w:eastAsia="宋体" w:cs="宋体"/>
                <w:color w:val="000000" w:themeColor="text1"/>
                <w:sz w:val="21"/>
                <w:szCs w:val="21"/>
                <w:shd w:val="clear" w:color="080000" w:fill="FFFFFF"/>
                <w14:textFill>
                  <w14:solidFill>
                    <w14:schemeClr w14:val="tx1"/>
                  </w14:solidFill>
                </w14:textFill>
              </w:rPr>
            </w:pPr>
            <w:r>
              <w:rPr>
                <w:rFonts w:hint="eastAsia" w:ascii="宋体" w:eastAsia="宋体" w:cs="仿宋_GB2312" w:hAnsiTheme="minorEastAsia"/>
                <w:color w:val="000000"/>
                <w:sz w:val="21"/>
                <w:szCs w:val="21"/>
                <w:shd w:val="clear" w:color="080000" w:fill="FFFFFF"/>
                <w:lang w:val="en-US" w:eastAsia="zh-CN"/>
              </w:rPr>
              <w:t>4</w:t>
            </w:r>
            <w:r>
              <w:rPr>
                <w:rFonts w:hint="eastAsia" w:ascii="宋体" w:eastAsia="宋体" w:cs="仿宋_GB2312" w:hAnsiTheme="minorEastAsia"/>
                <w:color w:val="000000"/>
                <w:sz w:val="21"/>
                <w:szCs w:val="21"/>
                <w:shd w:val="clear" w:color="080000" w:fill="FFFFFF"/>
              </w:rPr>
              <w:t>、电梯安全管理人员</w:t>
            </w:r>
            <w:r>
              <w:rPr>
                <w:rFonts w:hint="eastAsia" w:ascii="宋体" w:eastAsia="宋体" w:cs="仿宋_GB2312" w:hAnsiTheme="minorEastAsia"/>
                <w:color w:val="000000"/>
                <w:sz w:val="21"/>
                <w:szCs w:val="21"/>
                <w:shd w:val="clear" w:color="080000" w:fill="FFFFFF"/>
                <w:lang w:val="en-US" w:eastAsia="zh-CN"/>
              </w:rPr>
              <w:t>2</w:t>
            </w:r>
            <w:r>
              <w:rPr>
                <w:rFonts w:hint="eastAsia" w:ascii="宋体" w:eastAsia="宋体" w:cs="仿宋_GB2312" w:hAnsiTheme="minorEastAsia"/>
                <w:color w:val="000000"/>
                <w:sz w:val="21"/>
                <w:szCs w:val="21"/>
                <w:shd w:val="clear" w:color="080000" w:fill="FFFFFF"/>
              </w:rPr>
              <w:t>分。</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每有1</w:t>
            </w:r>
            <w:r>
              <w:rPr>
                <w:rFonts w:hint="eastAsia" w:ascii="宋体" w:hAnsi="宋体" w:eastAsia="宋体" w:cs="宋体"/>
                <w:color w:val="000000" w:themeColor="text1"/>
                <w:sz w:val="21"/>
                <w:szCs w:val="21"/>
                <w:shd w:val="clear" w:color="080000" w:fill="FFFFFF"/>
                <w14:textFill>
                  <w14:solidFill>
                    <w14:schemeClr w14:val="tx1"/>
                  </w14:solidFill>
                </w14:textFill>
              </w:rPr>
              <w:t>名具备市场监督管理部门</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颁发的</w:t>
            </w:r>
            <w:r>
              <w:rPr>
                <w:rFonts w:hint="eastAsia" w:ascii="宋体" w:hAnsi="宋体" w:eastAsia="宋体" w:cs="宋体"/>
                <w:color w:val="000000" w:themeColor="text1"/>
                <w:sz w:val="21"/>
                <w:szCs w:val="21"/>
                <w:shd w:val="clear" w:color="080000" w:fill="FFFFFF"/>
                <w14:textFill>
                  <w14:solidFill>
                    <w14:schemeClr w14:val="tx1"/>
                  </w14:solidFill>
                </w14:textFill>
              </w:rPr>
              <w:t>特种设备安全管理和作业人员（作业项目名称为:特种设备安全管理即项目代号为：A类 ）证书的得</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2</w:t>
            </w:r>
            <w:r>
              <w:rPr>
                <w:rFonts w:hint="eastAsia" w:ascii="宋体" w:hAnsi="宋体" w:eastAsia="宋体" w:cs="宋体"/>
                <w:color w:val="000000" w:themeColor="text1"/>
                <w:sz w:val="21"/>
                <w:szCs w:val="21"/>
                <w:shd w:val="clear" w:color="080000" w:fill="FFFFFF"/>
                <w14:textFill>
                  <w14:solidFill>
                    <w14:schemeClr w14:val="tx1"/>
                  </w14:solidFill>
                </w14:textFill>
              </w:rPr>
              <w:t>分。需提供相关资格证书。</w:t>
            </w:r>
          </w:p>
          <w:p w14:paraId="39B09078">
            <w:pPr>
              <w:pStyle w:val="72"/>
              <w:widowControl/>
              <w:snapToGrid w:val="0"/>
              <w:spacing w:beforeAutospacing="0" w:afterAutospacing="0"/>
              <w:ind w:left="0" w:leftChars="0" w:right="0" w:rightChars="0" w:firstLine="0" w:firstLineChars="0"/>
              <w:jc w:val="left"/>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pPr>
            <w:r>
              <w:rPr>
                <w:rFonts w:hint="eastAsia" w:ascii="宋体" w:eastAsia="宋体" w:cs="仿宋_GB2312" w:hAnsiTheme="minorEastAsia"/>
                <w:color w:val="000000"/>
                <w:sz w:val="21"/>
                <w:szCs w:val="21"/>
                <w:shd w:val="clear" w:color="080000" w:fill="FFFFFF"/>
                <w:lang w:val="en-US" w:eastAsia="zh-CN"/>
              </w:rPr>
              <w:t>5</w:t>
            </w:r>
            <w:r>
              <w:rPr>
                <w:rFonts w:hint="eastAsia" w:ascii="宋体" w:eastAsia="宋体" w:cs="仿宋_GB2312" w:hAnsiTheme="minorEastAsia"/>
                <w:color w:val="000000"/>
                <w:sz w:val="21"/>
                <w:szCs w:val="21"/>
                <w:shd w:val="clear" w:color="080000" w:fill="FFFFFF"/>
              </w:rPr>
              <w:t>、消防管理人员2分。</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每</w:t>
            </w:r>
            <w:r>
              <w:rPr>
                <w:rFonts w:hint="eastAsia" w:ascii="宋体" w:hAnsi="宋体" w:eastAsia="宋体" w:cs="宋体"/>
                <w:color w:val="000000" w:themeColor="text1"/>
                <w:sz w:val="21"/>
                <w:szCs w:val="21"/>
                <w:shd w:val="clear" w:color="080000" w:fill="FFFFFF"/>
                <w14:textFill>
                  <w14:solidFill>
                    <w14:schemeClr w14:val="tx1"/>
                  </w14:solidFill>
                </w14:textFill>
              </w:rPr>
              <w:t>有</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1</w:t>
            </w:r>
            <w:r>
              <w:rPr>
                <w:rFonts w:hint="eastAsia" w:ascii="宋体" w:hAnsi="宋体" w:eastAsia="宋体" w:cs="宋体"/>
                <w:color w:val="000000" w:themeColor="text1"/>
                <w:sz w:val="21"/>
                <w:szCs w:val="21"/>
                <w:shd w:val="clear" w:color="080000" w:fill="FFFFFF"/>
                <w14:textFill>
                  <w14:solidFill>
                    <w14:schemeClr w14:val="tx1"/>
                  </w14:solidFill>
                </w14:textFill>
              </w:rPr>
              <w:t>名具备</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行业主管部门颁发的</w:t>
            </w:r>
            <w:r>
              <w:rPr>
                <w:rFonts w:hint="eastAsia" w:ascii="宋体" w:hAnsi="宋体" w:eastAsia="宋体" w:cs="宋体"/>
                <w:color w:val="000000" w:themeColor="text1"/>
                <w:sz w:val="21"/>
                <w:szCs w:val="21"/>
                <w:shd w:val="clear" w:color="080000" w:fill="FFFFFF"/>
                <w14:textFill>
                  <w14:solidFill>
                    <w14:schemeClr w14:val="tx1"/>
                  </w14:solidFill>
                </w14:textFill>
              </w:rPr>
              <w:t>消防设施操作员或</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建（构）筑物消防员资格证得2分。需提供相</w:t>
            </w:r>
            <w:r>
              <w:rPr>
                <w:rFonts w:hint="eastAsia" w:ascii="宋体" w:hAnsi="宋体" w:eastAsia="宋体" w:cs="宋体"/>
                <w:color w:val="000000" w:themeColor="text1"/>
                <w:sz w:val="21"/>
                <w:szCs w:val="21"/>
                <w:shd w:val="clear" w:color="080000" w:fill="FFFFFF"/>
                <w14:textFill>
                  <w14:solidFill>
                    <w14:schemeClr w14:val="tx1"/>
                  </w14:solidFill>
                </w14:textFill>
              </w:rPr>
              <w:t>关资格证书。</w:t>
            </w:r>
          </w:p>
          <w:p w14:paraId="05248384">
            <w:pPr>
              <w:pStyle w:val="72"/>
              <w:widowControl/>
              <w:snapToGrid w:val="0"/>
              <w:spacing w:beforeAutospacing="0" w:afterAutospacing="0"/>
              <w:ind w:left="0" w:leftChars="0" w:right="0" w:rightChars="0" w:firstLine="0" w:firstLineChars="0"/>
              <w:jc w:val="left"/>
              <w:rPr>
                <w:rFonts w:ascii="宋体" w:eastAsia="宋体" w:cs="仿宋_GB2312" w:hAnsiTheme="minorEastAsia"/>
                <w:color w:val="000000"/>
                <w:sz w:val="21"/>
                <w:szCs w:val="21"/>
                <w:shd w:val="clear" w:color="080000" w:fill="FFFFFF"/>
              </w:rPr>
            </w:pP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仅需</w:t>
            </w:r>
            <w:r>
              <w:rPr>
                <w:rFonts w:hint="eastAsia" w:ascii="宋体" w:hAnsi="宋体" w:eastAsia="宋体" w:cs="宋体"/>
                <w:color w:val="000000" w:themeColor="text1"/>
                <w:sz w:val="21"/>
                <w:szCs w:val="21"/>
                <w:shd w:val="clear" w:color="080000" w:fill="FFFFFF"/>
                <w:lang w:eastAsia="zh-CN"/>
                <w14:textFill>
                  <w14:solidFill>
                    <w14:schemeClr w14:val="tx1"/>
                  </w14:solidFill>
                </w14:textFill>
              </w:rPr>
              <w:t>项目负责人提供</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近3个月（任意一个月）</w:t>
            </w:r>
            <w:r>
              <w:rPr>
                <w:rFonts w:hint="eastAsia" w:ascii="宋体" w:hAnsi="宋体" w:eastAsia="宋体" w:cs="宋体"/>
                <w:color w:val="000000" w:themeColor="text1"/>
                <w:sz w:val="21"/>
                <w:szCs w:val="21"/>
                <w:shd w:val="clear" w:color="080000" w:fill="FFFFFF"/>
                <w:lang w:eastAsia="zh-CN"/>
                <w14:textFill>
                  <w14:solidFill>
                    <w14:schemeClr w14:val="tx1"/>
                  </w14:solidFill>
                </w14:textFill>
              </w:rPr>
              <w:t>供应商为其缴纳的社保（基本养老保险或基本医疗保险均可）证明材料，否则对应项不得分。</w:t>
            </w:r>
            <w:r>
              <w:rPr>
                <w:rFonts w:hint="eastAsia" w:ascii="宋体" w:hAnsi="宋体" w:eastAsia="宋体" w:cs="宋体"/>
                <w:color w:val="000000" w:themeColor="text1"/>
                <w:sz w:val="21"/>
                <w:szCs w:val="21"/>
                <w:shd w:val="clear" w:color="080000" w:fill="FFFFFF"/>
                <w:lang w:val="en-US" w:eastAsia="zh-CN"/>
                <w14:textFill>
                  <w14:solidFill>
                    <w14:schemeClr w14:val="tx1"/>
                  </w14:solidFill>
                </w14:textFill>
              </w:rPr>
              <w:t>其他人员无需提供。</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E4D74AC">
            <w:pPr>
              <w:snapToGrid w:val="0"/>
              <w:spacing w:line="240" w:lineRule="auto"/>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提供</w:t>
            </w:r>
            <w:r>
              <w:rPr>
                <w:rFonts w:hint="eastAsia" w:ascii="宋体" w:eastAsia="宋体" w:hAnsiTheme="minorEastAsia"/>
                <w:sz w:val="21"/>
                <w:szCs w:val="21"/>
                <w:lang w:val="en-US" w:eastAsia="zh-CN"/>
              </w:rPr>
              <w:t>业绩、</w:t>
            </w:r>
            <w:r>
              <w:rPr>
                <w:rFonts w:hint="eastAsia" w:ascii="宋体" w:eastAsia="宋体" w:hAnsiTheme="minorEastAsia"/>
                <w:sz w:val="21"/>
                <w:szCs w:val="21"/>
              </w:rPr>
              <w:t>人员证明材料、资格证书</w:t>
            </w:r>
            <w:r>
              <w:rPr>
                <w:rFonts w:hint="eastAsia" w:ascii="宋体" w:eastAsia="宋体" w:hAnsiTheme="minorEastAsia"/>
                <w:sz w:val="21"/>
                <w:szCs w:val="21"/>
                <w:lang w:val="en-US" w:eastAsia="zh-CN"/>
              </w:rPr>
              <w:t>复印件或扫描打印件</w:t>
            </w:r>
            <w:r>
              <w:rPr>
                <w:rFonts w:hint="eastAsia" w:ascii="宋体" w:eastAsia="宋体" w:hAnsiTheme="minorEastAsia"/>
                <w:sz w:val="21"/>
                <w:szCs w:val="21"/>
              </w:rPr>
              <w:t>放入投标</w:t>
            </w:r>
            <w:r>
              <w:rPr>
                <w:rFonts w:hint="eastAsia" w:ascii="宋体" w:eastAsia="宋体" w:hAnsiTheme="minorEastAsia"/>
                <w:sz w:val="21"/>
                <w:szCs w:val="21"/>
                <w:lang w:eastAsia="zh-CN"/>
              </w:rPr>
              <w:t>（</w:t>
            </w:r>
            <w:r>
              <w:rPr>
                <w:rFonts w:hint="eastAsia" w:ascii="宋体" w:eastAsia="宋体" w:hAnsiTheme="minorEastAsia"/>
                <w:sz w:val="21"/>
                <w:szCs w:val="21"/>
                <w:lang w:val="en-US" w:eastAsia="zh-CN"/>
              </w:rPr>
              <w:t>响应</w:t>
            </w:r>
            <w:r>
              <w:rPr>
                <w:rFonts w:hint="eastAsia" w:ascii="宋体" w:eastAsia="宋体" w:hAnsiTheme="minorEastAsia"/>
                <w:sz w:val="21"/>
                <w:szCs w:val="21"/>
                <w:lang w:eastAsia="zh-CN"/>
              </w:rPr>
              <w:t>）</w:t>
            </w:r>
            <w:r>
              <w:rPr>
                <w:rFonts w:hint="eastAsia" w:ascii="宋体" w:eastAsia="宋体" w:hAnsiTheme="minorEastAsia"/>
                <w:sz w:val="21"/>
                <w:szCs w:val="21"/>
              </w:rPr>
              <w:t>文件，未提供的不得分。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EFC72A8">
            <w:pPr>
              <w:snapToGrid w:val="0"/>
              <w:spacing w:line="240" w:lineRule="auto"/>
              <w:ind w:left="0" w:leftChars="0" w:right="0" w:rightChars="0" w:firstLine="0" w:firstLineChars="0"/>
              <w:jc w:val="center"/>
              <w:rPr>
                <w:rFonts w:hint="default" w:ascii="宋体" w:eastAsia="宋体" w:hAnsiTheme="minorEastAsia"/>
                <w:b/>
                <w:bCs/>
                <w:color w:val="0070C0"/>
                <w:sz w:val="21"/>
                <w:szCs w:val="21"/>
                <w:lang w:val="en-US" w:eastAsia="zh-CN"/>
              </w:rPr>
            </w:pPr>
            <w:r>
              <w:rPr>
                <w:rFonts w:hint="eastAsia" w:ascii="宋体" w:hAnsi="宋体" w:eastAsia="宋体" w:cs="宋体"/>
                <w:color w:val="000000" w:themeColor="text1"/>
                <w:kern w:val="0"/>
                <w:sz w:val="21"/>
                <w:szCs w:val="21"/>
                <w:shd w:val="clear" w:color="080000" w:fill="FFFFFF"/>
                <w:lang w:val="en-US" w:eastAsia="zh-CN" w:bidi="ar-SA"/>
                <w14:textFill>
                  <w14:solidFill>
                    <w14:schemeClr w14:val="tx1"/>
                  </w14:solidFill>
                </w14:textFill>
              </w:rPr>
              <w:t>11</w:t>
            </w:r>
          </w:p>
        </w:tc>
      </w:tr>
      <w:tr w14:paraId="2AB0E363">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097C127">
            <w:pPr>
              <w:snapToGrid w:val="0"/>
              <w:spacing w:line="240" w:lineRule="auto"/>
              <w:ind w:left="0" w:leftChars="0" w:right="0" w:rightChars="0" w:firstLine="0" w:firstLineChars="0"/>
              <w:jc w:val="center"/>
              <w:rPr>
                <w:rFonts w:ascii="宋体" w:eastAsia="宋体" w:hAnsiTheme="minorEastAsia"/>
                <w:b/>
                <w:sz w:val="21"/>
                <w:szCs w:val="21"/>
              </w:rPr>
            </w:pPr>
            <w:r>
              <w:rPr>
                <w:rFonts w:hint="eastAsia" w:ascii="宋体" w:eastAsia="宋体" w:cs="Arial" w:hAnsiTheme="minorEastAsia"/>
                <w:b/>
                <w:bCs/>
                <w:sz w:val="21"/>
                <w:szCs w:val="21"/>
              </w:rPr>
              <w:t>服务方案</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8AEA6B">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14:textFill>
                  <w14:solidFill>
                    <w14:schemeClr w14:val="tx1"/>
                  </w14:solidFill>
                </w14:textFill>
              </w:rPr>
              <w:t>整体方案</w:t>
            </w:r>
            <w:r>
              <w:rPr>
                <w:rFonts w:hint="eastAsia" w:ascii="宋体" w:hAnsi="宋体" w:eastAsia="宋体" w:cs="宋体"/>
                <w:color w:val="000000" w:themeColor="text1"/>
                <w:kern w:val="0"/>
                <w:sz w:val="21"/>
                <w:szCs w:val="21"/>
                <w:highlight w:val="none"/>
                <w:shd w:val="clear" w:color="080000" w:fill="FFFFFF"/>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根据项目特点提出整体设想及策划，包含物业管理项目现状分析和服务理念。</w:t>
            </w:r>
          </w:p>
          <w:p w14:paraId="6D986C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方案完整详细，现状分析准确，服务理念契合项目实际，实用性、针对性强，得5分；</w:t>
            </w:r>
          </w:p>
          <w:p w14:paraId="5B23CD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方案较完整详细，现状分析较准确，服务较契合项目实际，具有实用性和针对性，得3分；</w:t>
            </w:r>
          </w:p>
          <w:p w14:paraId="3C86FE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方案不够完整详细,实用性、针对性有待改善，得1分；</w:t>
            </w:r>
          </w:p>
          <w:p w14:paraId="083061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p w14:paraId="3BC5A177">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环境清洁保洁服务方案：根据本项目管理区域内布局、操作规范、服务质量及消毒隔离要求，提出有效针对性的环境清洁保洁方案。包含保洁时间、人员配置、作业班次及频次和网格安排。方案完整详细，保洁时间和人员配置得当，作业班次安排详细，实用性、针对性强，得5分；</w:t>
            </w:r>
          </w:p>
          <w:p w14:paraId="647B1E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方案较完整详细，保洁时间和人员配置较得当，作业班次安排较详细，具有实用性和针对性，得3分；</w:t>
            </w:r>
          </w:p>
          <w:p w14:paraId="0FC696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方案不够完整详细，保洁时间和人员配置有待提升，作业班次安排有待完善，实用性、针对性有待改善，得1分；</w:t>
            </w:r>
          </w:p>
          <w:p w14:paraId="746427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p w14:paraId="3BBEBA45">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安保巡逻服务方案：</w:t>
            </w:r>
            <w:r>
              <w:rPr>
                <w:rFonts w:hint="default" w:ascii="宋体" w:eastAsia="宋体" w:hAnsiTheme="minorEastAsia"/>
                <w:color w:val="000000" w:themeColor="text1"/>
                <w:sz w:val="21"/>
                <w:szCs w:val="21"/>
                <w:highlight w:val="none"/>
                <w:lang w:val="en-US" w:eastAsia="zh-CN"/>
                <w14:textFill>
                  <w14:solidFill>
                    <w14:schemeClr w14:val="tx1"/>
                  </w14:solidFill>
                </w14:textFill>
              </w:rPr>
              <w:t>据本项目管理区域内布局及特点，提出有效针对性的安保巡逻服务方案。包含岗位设置和要求、巡逻具体时间安排和内容、巡逻路线选择、楼栋管控、防火、防盗。方案内容完整详细，完全满足和符合实际需求的，得</w:t>
            </w:r>
            <w:r>
              <w:rPr>
                <w:rFonts w:hint="eastAsia" w:ascii="宋体" w:eastAsia="宋体" w:hAnsiTheme="minorEastAsia"/>
                <w:color w:val="000000" w:themeColor="text1"/>
                <w:sz w:val="21"/>
                <w:szCs w:val="21"/>
                <w:highlight w:val="none"/>
                <w:lang w:val="en-US" w:eastAsia="zh-CN"/>
                <w14:textFill>
                  <w14:solidFill>
                    <w14:schemeClr w14:val="tx1"/>
                  </w14:solidFill>
                </w14:textFill>
              </w:rPr>
              <w:t>5</w:t>
            </w:r>
            <w:r>
              <w:rPr>
                <w:rFonts w:hint="default" w:ascii="宋体" w:eastAsia="宋体" w:hAnsiTheme="minorEastAsia"/>
                <w:color w:val="000000" w:themeColor="text1"/>
                <w:sz w:val="21"/>
                <w:szCs w:val="21"/>
                <w:highlight w:val="none"/>
                <w:lang w:val="en-US" w:eastAsia="zh-CN"/>
                <w14:textFill>
                  <w14:solidFill>
                    <w14:schemeClr w14:val="tx1"/>
                  </w14:solidFill>
                </w14:textFill>
              </w:rPr>
              <w:t>分；</w:t>
            </w:r>
          </w:p>
          <w:p w14:paraId="07A7D8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default" w:ascii="宋体" w:eastAsia="宋体" w:hAnsiTheme="minorEastAsia"/>
                <w:color w:val="000000" w:themeColor="text1"/>
                <w:sz w:val="21"/>
                <w:szCs w:val="21"/>
                <w:highlight w:val="none"/>
                <w:lang w:val="en-US" w:eastAsia="zh-CN"/>
                <w14:textFill>
                  <w14:solidFill>
                    <w14:schemeClr w14:val="tx1"/>
                  </w14:solidFill>
                </w14:textFill>
              </w:rPr>
              <w:t>方案内容较为完整详细，能够基本满足实际需求的，得</w:t>
            </w:r>
            <w:r>
              <w:rPr>
                <w:rFonts w:hint="eastAsia" w:ascii="宋体" w:eastAsia="宋体" w:hAnsiTheme="minorEastAsia"/>
                <w:color w:val="000000" w:themeColor="text1"/>
                <w:sz w:val="21"/>
                <w:szCs w:val="21"/>
                <w:highlight w:val="none"/>
                <w:lang w:val="en-US" w:eastAsia="zh-CN"/>
                <w14:textFill>
                  <w14:solidFill>
                    <w14:schemeClr w14:val="tx1"/>
                  </w14:solidFill>
                </w14:textFill>
              </w:rPr>
              <w:t>3</w:t>
            </w:r>
            <w:r>
              <w:rPr>
                <w:rFonts w:hint="default" w:ascii="宋体" w:eastAsia="宋体" w:hAnsiTheme="minorEastAsia"/>
                <w:color w:val="000000" w:themeColor="text1"/>
                <w:sz w:val="21"/>
                <w:szCs w:val="21"/>
                <w:highlight w:val="none"/>
                <w:lang w:val="en-US" w:eastAsia="zh-CN"/>
                <w14:textFill>
                  <w14:solidFill>
                    <w14:schemeClr w14:val="tx1"/>
                  </w14:solidFill>
                </w14:textFill>
              </w:rPr>
              <w:t>分；</w:t>
            </w:r>
          </w:p>
          <w:p w14:paraId="5F9AC1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default" w:ascii="宋体" w:eastAsia="宋体" w:hAnsiTheme="minorEastAsia"/>
                <w:color w:val="000000" w:themeColor="text1"/>
                <w:sz w:val="21"/>
                <w:szCs w:val="21"/>
                <w:highlight w:val="none"/>
                <w:lang w:val="en-US" w:eastAsia="zh-CN"/>
                <w14:textFill>
                  <w14:solidFill>
                    <w14:schemeClr w14:val="tx1"/>
                  </w14:solidFill>
                </w14:textFill>
              </w:rPr>
              <w:t>能够提供安保及秩序维护服务方案，有待进一步完善的，得</w:t>
            </w:r>
            <w:r>
              <w:rPr>
                <w:rFonts w:hint="eastAsia" w:ascii="宋体" w:eastAsia="宋体" w:hAnsiTheme="minorEastAsia"/>
                <w:color w:val="000000" w:themeColor="text1"/>
                <w:sz w:val="21"/>
                <w:szCs w:val="21"/>
                <w:highlight w:val="none"/>
                <w:lang w:val="en-US" w:eastAsia="zh-CN"/>
                <w14:textFill>
                  <w14:solidFill>
                    <w14:schemeClr w14:val="tx1"/>
                  </w14:solidFill>
                </w14:textFill>
              </w:rPr>
              <w:t>1</w:t>
            </w:r>
            <w:r>
              <w:rPr>
                <w:rFonts w:hint="default" w:ascii="宋体" w:eastAsia="宋体" w:hAnsiTheme="minorEastAsia"/>
                <w:color w:val="000000" w:themeColor="text1"/>
                <w:sz w:val="21"/>
                <w:szCs w:val="21"/>
                <w:highlight w:val="none"/>
                <w:lang w:val="en-US" w:eastAsia="zh-CN"/>
                <w14:textFill>
                  <w14:solidFill>
                    <w14:schemeClr w14:val="tx1"/>
                  </w14:solidFill>
                </w14:textFill>
              </w:rPr>
              <w:t>分。</w:t>
            </w:r>
          </w:p>
          <w:p w14:paraId="702B19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w:t>
            </w:r>
            <w:r>
              <w:rPr>
                <w:rFonts w:hint="default" w:ascii="宋体" w:eastAsia="宋体" w:hAnsiTheme="minorEastAsia"/>
                <w:color w:val="000000" w:themeColor="text1"/>
                <w:sz w:val="21"/>
                <w:szCs w:val="21"/>
                <w:highlight w:val="none"/>
                <w:lang w:val="en-US" w:eastAsia="zh-CN"/>
                <w14:textFill>
                  <w14:solidFill>
                    <w14:schemeClr w14:val="tx1"/>
                  </w14:solidFill>
                </w14:textFill>
              </w:rPr>
              <w:t>未提供得0分。</w:t>
            </w:r>
          </w:p>
          <w:p w14:paraId="1EE1AB75">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物业服务区域内共用设施（给排水、电梯、空调、消防等系统管理方案：方案内容完整详细，与本项目实际需求有较高适用度，针对性强，得5分；</w:t>
            </w:r>
          </w:p>
          <w:p w14:paraId="39D37C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方案内容较完整详细，与本项目需求有适用度，具有针对性，得3分；</w:t>
            </w:r>
          </w:p>
          <w:p w14:paraId="518F77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方案内容要点突出不够明显，实用性、针对性有待改善，得1分；</w:t>
            </w:r>
          </w:p>
          <w:p w14:paraId="76DFC0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方案未提供得0分。</w:t>
            </w:r>
          </w:p>
          <w:p w14:paraId="08D6B0B4">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default" w:ascii="宋体" w:eastAsia="宋体" w:hAnsiTheme="minorEastAsia"/>
                <w:color w:val="000000" w:themeColor="text1"/>
                <w:sz w:val="21"/>
                <w:szCs w:val="21"/>
                <w:highlight w:val="none"/>
                <w:lang w:val="en-US" w:eastAsia="zh-CN"/>
                <w14:textFill>
                  <w14:solidFill>
                    <w14:schemeClr w14:val="tx1"/>
                  </w14:solidFill>
                </w14:textFill>
              </w:rPr>
              <w:t>拟投入设备</w:t>
            </w:r>
            <w:r>
              <w:rPr>
                <w:rFonts w:hint="eastAsia" w:ascii="宋体" w:eastAsia="宋体" w:hAnsiTheme="minorEastAsia"/>
                <w:color w:val="000000" w:themeColor="text1"/>
                <w:sz w:val="21"/>
                <w:szCs w:val="21"/>
                <w:highlight w:val="none"/>
                <w:lang w:val="en-US" w:eastAsia="zh-CN"/>
                <w14:textFill>
                  <w14:solidFill>
                    <w14:schemeClr w14:val="tx1"/>
                  </w14:solidFill>
                </w14:textFill>
              </w:rPr>
              <w:t>、</w:t>
            </w:r>
            <w:r>
              <w:rPr>
                <w:rFonts w:hint="default" w:ascii="宋体" w:eastAsia="宋体" w:hAnsiTheme="minorEastAsia"/>
                <w:color w:val="000000" w:themeColor="text1"/>
                <w:sz w:val="21"/>
                <w:szCs w:val="21"/>
                <w:highlight w:val="none"/>
                <w:lang w:val="en-US" w:eastAsia="zh-CN"/>
                <w14:textFill>
                  <w14:solidFill>
                    <w14:schemeClr w14:val="tx1"/>
                  </w14:solidFill>
                </w14:textFill>
              </w:rPr>
              <w:t>工具及物耗情况方案</w:t>
            </w:r>
            <w:r>
              <w:rPr>
                <w:rFonts w:hint="eastAsia" w:ascii="宋体" w:eastAsia="宋体" w:hAnsiTheme="minorEastAsia"/>
                <w:color w:val="000000" w:themeColor="text1"/>
                <w:sz w:val="21"/>
                <w:szCs w:val="21"/>
                <w:highlight w:val="none"/>
                <w:lang w:val="en-US" w:eastAsia="zh-CN"/>
                <w14:textFill>
                  <w14:solidFill>
                    <w14:schemeClr w14:val="tx1"/>
                  </w14:solidFill>
                </w14:textFill>
              </w:rPr>
              <w:t>：根据投标人提供的拟投入设备工具的装备清单（如清洁工具、用品等）先进性、齐全性等方面进行综合评分。方案完整详细，功能种类齐全、质量先进，得5分；</w:t>
            </w:r>
          </w:p>
          <w:p w14:paraId="3E7EC9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方案较完整详细，功能种类基本齐全的，得3分；</w:t>
            </w:r>
          </w:p>
          <w:p w14:paraId="0565EC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方案不够完整详细，功能种类缺失、粗减的，得1分；</w:t>
            </w:r>
          </w:p>
          <w:p w14:paraId="5CCE3A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eastAsia="宋体" w:hAnsiTheme="minorEastAsia"/>
                <w:color w:val="000000" w:themeColor="text1"/>
                <w:sz w:val="21"/>
                <w:szCs w:val="21"/>
                <w:highlight w:val="none"/>
                <w:lang w:val="en-US" w:eastAsia="zh-CN"/>
                <w14:textFill>
                  <w14:solidFill>
                    <w14:schemeClr w14:val="tx1"/>
                  </w14:solidFill>
                </w14:textFill>
              </w:rPr>
              <w:t>方案未提供得0分。</w:t>
            </w:r>
          </w:p>
          <w:p w14:paraId="4CD52693">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房屋维修养护方案：根据供应商提供的房屋维修养护方案进行综合评分。包括报修应对措施、报修及时性、准确性的管控。方案内容完整详细，与本项目实际需求有较高适用度，针对性强，得5分；</w:t>
            </w:r>
          </w:p>
          <w:p w14:paraId="51255A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方案内容较完整详细，与本项目需求有适用度，具有针对性，得3分；</w:t>
            </w:r>
          </w:p>
          <w:p w14:paraId="09196C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方案内容要点突出不够明显，实用性、针对性有待改善，得1分；</w:t>
            </w:r>
          </w:p>
          <w:p w14:paraId="4138D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p w14:paraId="70F28DD6">
            <w:pPr>
              <w:keepNext w:val="0"/>
              <w:keepLines w:val="0"/>
              <w:pageBreakBefore w:val="0"/>
              <w:widowControl w:val="0"/>
              <w:numPr>
                <w:ilvl w:val="0"/>
                <w:numId w:val="6"/>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宋体" w:eastAsia="宋体" w:hAnsiTheme="minorEastAsia"/>
                <w:color w:val="00B050"/>
                <w:sz w:val="21"/>
                <w:szCs w:val="21"/>
                <w:lang w:val="en-US" w:eastAsia="zh-CN"/>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保密制度：根据投标人提供的保密制度进行综合评分。根据采购人要求与涉密工作岗位的服务人员签订保密协议，明确人员保密职责、开展保密培训，必要的人员经历审查等。方案完整详细，规范性、实用性、针对性强，得5分；</w:t>
            </w:r>
          </w:p>
          <w:p w14:paraId="74EE56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方案较完整详细，具有规范性、实用性和针对性，得3分；</w:t>
            </w:r>
          </w:p>
          <w:p w14:paraId="2A0E5B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方案不够完整详细，规范性、实用性、针对性有待改善，得1分；</w:t>
            </w:r>
          </w:p>
          <w:p w14:paraId="1DB064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宋体" w:eastAsia="宋体" w:hAnsiTheme="minorEastAsia"/>
                <w:color w:val="00B050"/>
                <w:sz w:val="21"/>
                <w:szCs w:val="21"/>
                <w:lang w:val="en-US" w:eastAsia="zh-CN"/>
              </w:rPr>
            </w:pPr>
            <w:r>
              <w:rPr>
                <w:rFonts w:hint="eastAsia" w:ascii="宋体" w:hAnsi="宋体" w:eastAsia="宋体" w:cs="宋体"/>
                <w:color w:val="000000" w:themeColor="text1"/>
                <w:kern w:val="0"/>
                <w:sz w:val="21"/>
                <w:szCs w:val="21"/>
                <w:highlight w:val="none"/>
                <w:shd w:val="clear" w:color="080000" w:fill="FFFFFF"/>
                <w:lang w:val="en-US" w:eastAsia="zh-CN"/>
                <w14:textFill>
                  <w14:solidFill>
                    <w14:schemeClr w14:val="tx1"/>
                  </w14:solidFill>
                </w14:textFill>
              </w:rPr>
              <w:t>方案未提供得0分。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8E29723">
            <w:pPr>
              <w:snapToGrid w:val="0"/>
              <w:spacing w:line="240" w:lineRule="auto"/>
              <w:ind w:left="0" w:leftChars="0" w:right="0" w:rightChars="0" w:firstLine="0" w:firstLineChars="0"/>
              <w:jc w:val="left"/>
              <w:rPr>
                <w:rFonts w:ascii="宋体" w:eastAsia="宋体" w:hAnsiTheme="minorEastAsia"/>
                <w:color w:val="00B050"/>
                <w:sz w:val="21"/>
                <w:szCs w:val="21"/>
              </w:rPr>
            </w:pPr>
            <w:r>
              <w:rPr>
                <w:rFonts w:hint="eastAsia" w:ascii="宋体" w:eastAsia="宋体" w:hAnsiTheme="minorEastAsia"/>
                <w:color w:val="000000" w:themeColor="text1"/>
                <w:sz w:val="21"/>
                <w:szCs w:val="21"/>
                <w14:textFill>
                  <w14:solidFill>
                    <w14:schemeClr w14:val="tx1"/>
                  </w14:solidFill>
                </w14:textFill>
              </w:rPr>
              <w:t>提供服务方案放入投标</w:t>
            </w:r>
            <w:r>
              <w:rPr>
                <w:rFonts w:hint="eastAsia" w:ascii="宋体" w:eastAsia="宋体" w:hAnsiTheme="minorEastAsia"/>
                <w:color w:val="000000" w:themeColor="text1"/>
                <w:sz w:val="21"/>
                <w:szCs w:val="21"/>
                <w:lang w:eastAsia="zh-CN"/>
                <w14:textFill>
                  <w14:solidFill>
                    <w14:schemeClr w14:val="tx1"/>
                  </w14:solidFill>
                </w14:textFill>
              </w:rPr>
              <w:t>（</w:t>
            </w:r>
            <w:r>
              <w:rPr>
                <w:rFonts w:hint="eastAsia" w:ascii="宋体" w:eastAsia="宋体" w:hAnsiTheme="minorEastAsia"/>
                <w:color w:val="000000" w:themeColor="text1"/>
                <w:sz w:val="21"/>
                <w:szCs w:val="21"/>
                <w:lang w:val="en-US" w:eastAsia="zh-CN"/>
                <w14:textFill>
                  <w14:solidFill>
                    <w14:schemeClr w14:val="tx1"/>
                  </w14:solidFill>
                </w14:textFill>
              </w:rPr>
              <w:t>响应</w:t>
            </w:r>
            <w:r>
              <w:rPr>
                <w:rFonts w:hint="eastAsia" w:ascii="宋体" w:eastAsia="宋体" w:hAnsiTheme="minorEastAsia"/>
                <w:color w:val="000000" w:themeColor="text1"/>
                <w:sz w:val="21"/>
                <w:szCs w:val="21"/>
                <w:lang w:eastAsia="zh-CN"/>
                <w14:textFill>
                  <w14:solidFill>
                    <w14:schemeClr w14:val="tx1"/>
                  </w14:solidFill>
                </w14:textFill>
              </w:rPr>
              <w:t>）</w:t>
            </w:r>
            <w:r>
              <w:rPr>
                <w:rFonts w:hint="eastAsia" w:ascii="宋体" w:eastAsia="宋体" w:hAnsiTheme="minorEastAsia"/>
                <w:color w:val="000000" w:themeColor="text1"/>
                <w:sz w:val="21"/>
                <w:szCs w:val="21"/>
                <w14:textFill>
                  <w14:solidFill>
                    <w14:schemeClr w14:val="tx1"/>
                  </w14:solidFill>
                </w14:textFill>
              </w:rPr>
              <w:t>文件，未提供的不得分。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7A31E97">
            <w:pPr>
              <w:snapToGrid w:val="0"/>
              <w:spacing w:line="240" w:lineRule="auto"/>
              <w:ind w:left="0" w:leftChars="0" w:right="0" w:rightChars="0" w:firstLine="0" w:firstLineChars="0"/>
              <w:jc w:val="center"/>
              <w:rPr>
                <w:rFonts w:hint="default" w:ascii="宋体" w:eastAsia="宋体" w:hAnsiTheme="minorEastAsia"/>
                <w:sz w:val="21"/>
                <w:szCs w:val="21"/>
                <w:lang w:val="en-US"/>
              </w:rPr>
            </w:pPr>
            <w:r>
              <w:rPr>
                <w:rFonts w:hint="eastAsia" w:ascii="宋体" w:eastAsia="宋体" w:hAnsiTheme="minorEastAsia"/>
                <w:sz w:val="21"/>
                <w:szCs w:val="21"/>
                <w:lang w:val="en-US" w:eastAsia="zh-CN"/>
              </w:rPr>
              <w:t>35</w:t>
            </w:r>
          </w:p>
        </w:tc>
      </w:tr>
      <w:tr w14:paraId="04233725">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B1B2553">
            <w:pPr>
              <w:snapToGrid w:val="0"/>
              <w:spacing w:line="240" w:lineRule="auto"/>
              <w:ind w:left="0" w:leftChars="0" w:right="0" w:rightChars="0" w:firstLine="0" w:firstLineChars="0"/>
              <w:jc w:val="center"/>
              <w:rPr>
                <w:rFonts w:ascii="宋体" w:eastAsia="宋体" w:hAnsiTheme="minorEastAsia"/>
                <w:b/>
                <w:color w:val="000000"/>
                <w:sz w:val="21"/>
                <w:szCs w:val="21"/>
              </w:rPr>
            </w:pPr>
            <w:r>
              <w:rPr>
                <w:rFonts w:hint="eastAsia" w:ascii="宋体" w:eastAsia="宋体" w:hAnsiTheme="minorEastAsia"/>
                <w:b/>
                <w:color w:val="000000"/>
                <w:sz w:val="21"/>
                <w:szCs w:val="21"/>
              </w:rPr>
              <w:t>体系认证</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BB352B">
            <w:pPr>
              <w:snapToGrid w:val="0"/>
              <w:ind w:left="0" w:leftChars="0" w:right="0" w:rightChars="0" w:firstLine="0" w:firstLineChars="0"/>
              <w:jc w:val="left"/>
              <w:rPr>
                <w:rFonts w:hint="eastAsia" w:ascii="宋体" w:eastAsia="宋体" w:hAnsiTheme="minorEastAsia"/>
                <w:sz w:val="21"/>
                <w:szCs w:val="21"/>
              </w:rPr>
            </w:pPr>
            <w:r>
              <w:rPr>
                <w:rFonts w:hint="eastAsia" w:ascii="宋体" w:eastAsia="宋体" w:hAnsiTheme="minorEastAsia"/>
                <w:sz w:val="21"/>
                <w:szCs w:val="21"/>
              </w:rPr>
              <w:t>具有</w:t>
            </w:r>
            <w:r>
              <w:rPr>
                <w:rFonts w:hint="eastAsia" w:ascii="宋体" w:eastAsia="宋体" w:hAnsiTheme="minorEastAsia"/>
                <w:sz w:val="21"/>
                <w:szCs w:val="21"/>
                <w:lang w:val="en-US" w:eastAsia="zh-CN"/>
              </w:rPr>
              <w:t>经</w:t>
            </w:r>
            <w:r>
              <w:rPr>
                <w:rFonts w:hint="eastAsia" w:ascii="宋体" w:eastAsia="宋体" w:hAnsiTheme="minorEastAsia"/>
                <w:sz w:val="21"/>
                <w:szCs w:val="21"/>
              </w:rPr>
              <w:t>国家认证认可监督管理委员会认证机构颁发的有效</w:t>
            </w:r>
            <w:r>
              <w:rPr>
                <w:rFonts w:hint="eastAsia" w:ascii="宋体" w:eastAsia="宋体" w:hAnsiTheme="minorEastAsia"/>
                <w:sz w:val="21"/>
                <w:szCs w:val="21"/>
                <w:lang w:val="en-US" w:eastAsia="zh-CN"/>
              </w:rPr>
              <w:t>的</w:t>
            </w:r>
            <w:r>
              <w:rPr>
                <w:rFonts w:hint="eastAsia" w:ascii="宋体" w:eastAsia="宋体" w:hAnsiTheme="minorEastAsia"/>
                <w:sz w:val="21"/>
                <w:szCs w:val="21"/>
              </w:rPr>
              <w:t>以下认证：</w:t>
            </w:r>
          </w:p>
          <w:p w14:paraId="2B34454A">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1.质量管理体系认证；</w:t>
            </w:r>
          </w:p>
          <w:p w14:paraId="530B9AFC">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2.环境管理体系认证；</w:t>
            </w:r>
          </w:p>
          <w:p w14:paraId="256DF361">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3.职业健康安全管理体系认证；</w:t>
            </w:r>
          </w:p>
          <w:p w14:paraId="093D3F3A">
            <w:pPr>
              <w:snapToGrid w:val="0"/>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每提供 1个认证得</w:t>
            </w:r>
            <w:r>
              <w:rPr>
                <w:rFonts w:hint="eastAsia" w:ascii="宋体" w:eastAsia="宋体" w:hAnsiTheme="minorEastAsia"/>
                <w:sz w:val="21"/>
                <w:szCs w:val="21"/>
                <w:lang w:val="en-US" w:eastAsia="zh-CN"/>
              </w:rPr>
              <w:t>3</w:t>
            </w:r>
            <w:r>
              <w:rPr>
                <w:rFonts w:hint="eastAsia" w:ascii="宋体" w:eastAsia="宋体" w:hAnsiTheme="minorEastAsia"/>
                <w:sz w:val="21"/>
                <w:szCs w:val="21"/>
              </w:rPr>
              <w:t>分，最高得</w:t>
            </w:r>
            <w:r>
              <w:rPr>
                <w:rFonts w:hint="eastAsia" w:ascii="宋体" w:eastAsia="宋体" w:hAnsiTheme="minorEastAsia"/>
                <w:sz w:val="21"/>
                <w:szCs w:val="21"/>
                <w:lang w:val="en-US" w:eastAsia="zh-CN"/>
              </w:rPr>
              <w:t>9</w:t>
            </w:r>
            <w:r>
              <w:rPr>
                <w:rFonts w:hint="eastAsia" w:ascii="宋体" w:eastAsia="宋体" w:hAnsiTheme="minorEastAsia"/>
                <w:sz w:val="21"/>
                <w:szCs w:val="21"/>
              </w:rPr>
              <w:t>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D630F5">
            <w:pPr>
              <w:pStyle w:val="72"/>
              <w:widowControl/>
              <w:snapToGrid w:val="0"/>
              <w:spacing w:beforeAutospacing="0" w:afterAutospacing="0"/>
              <w:ind w:left="0" w:leftChars="0" w:right="0" w:rightChars="0" w:firstLine="0" w:firstLineChars="0"/>
              <w:jc w:val="left"/>
              <w:rPr>
                <w:rFonts w:ascii="宋体" w:eastAsia="宋体" w:cs="仿宋_GB2312" w:hAnsiTheme="minorEastAsia"/>
                <w:sz w:val="21"/>
                <w:szCs w:val="21"/>
                <w:shd w:val="clear" w:color="080000" w:fill="FFFFFF"/>
              </w:rPr>
            </w:pPr>
            <w:r>
              <w:rPr>
                <w:rFonts w:hint="eastAsia" w:ascii="宋体" w:eastAsia="宋体" w:cs="仿宋_GB2312" w:hAnsiTheme="minorEastAsia"/>
                <w:sz w:val="21"/>
                <w:szCs w:val="21"/>
                <w:shd w:val="clear" w:color="080000" w:fill="FFFFFF"/>
              </w:rPr>
              <w:t>提供证书</w:t>
            </w:r>
            <w:r>
              <w:rPr>
                <w:rFonts w:hint="eastAsia" w:ascii="宋体" w:eastAsia="宋体" w:cs="仿宋_GB2312" w:hAnsiTheme="minorEastAsia"/>
                <w:sz w:val="21"/>
                <w:szCs w:val="21"/>
                <w:shd w:val="clear" w:color="080000" w:fill="FFFFFF"/>
                <w:lang w:eastAsia="zh-CN"/>
              </w:rPr>
              <w:t>复印件或扫描打印件</w:t>
            </w:r>
            <w:r>
              <w:rPr>
                <w:rFonts w:hint="eastAsia" w:ascii="宋体" w:eastAsia="宋体" w:cs="仿宋_GB2312" w:hAnsiTheme="minorEastAsia"/>
                <w:sz w:val="21"/>
                <w:szCs w:val="21"/>
                <w:shd w:val="clear" w:color="080000" w:fill="FFFFFF"/>
              </w:rPr>
              <w:t>放入投标</w:t>
            </w:r>
            <w:r>
              <w:rPr>
                <w:rFonts w:hint="eastAsia" w:ascii="宋体" w:eastAsia="宋体" w:cs="仿宋_GB2312" w:hAnsiTheme="minorEastAsia"/>
                <w:sz w:val="21"/>
                <w:szCs w:val="21"/>
                <w:shd w:val="clear" w:color="080000" w:fill="FFFFFF"/>
                <w:lang w:eastAsia="zh-CN"/>
              </w:rPr>
              <w:t>（</w:t>
            </w:r>
            <w:r>
              <w:rPr>
                <w:rFonts w:hint="eastAsia" w:ascii="宋体" w:eastAsia="宋体" w:cs="仿宋_GB2312" w:hAnsiTheme="minorEastAsia"/>
                <w:sz w:val="21"/>
                <w:szCs w:val="21"/>
                <w:shd w:val="clear" w:color="080000" w:fill="FFFFFF"/>
                <w:lang w:val="en-US" w:eastAsia="zh-CN"/>
              </w:rPr>
              <w:t>响应</w:t>
            </w:r>
            <w:r>
              <w:rPr>
                <w:rFonts w:hint="eastAsia" w:ascii="宋体" w:eastAsia="宋体" w:cs="仿宋_GB2312" w:hAnsiTheme="minorEastAsia"/>
                <w:sz w:val="21"/>
                <w:szCs w:val="21"/>
                <w:shd w:val="clear" w:color="080000" w:fill="FFFFFF"/>
                <w:lang w:eastAsia="zh-CN"/>
              </w:rPr>
              <w:t>）</w:t>
            </w:r>
            <w:r>
              <w:rPr>
                <w:rFonts w:hint="eastAsia" w:ascii="宋体" w:eastAsia="宋体" w:cs="仿宋_GB2312" w:hAnsiTheme="minorEastAsia"/>
                <w:sz w:val="21"/>
                <w:szCs w:val="21"/>
                <w:shd w:val="clear" w:color="080000" w:fill="FFFFFF"/>
              </w:rPr>
              <w:t>文件，未提供的不得分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F0C535D">
            <w:pPr>
              <w:snapToGrid w:val="0"/>
              <w:spacing w:line="240" w:lineRule="auto"/>
              <w:ind w:left="0" w:leftChars="0" w:right="0" w:rightChars="0" w:firstLine="0" w:firstLineChars="0"/>
              <w:jc w:val="center"/>
              <w:rPr>
                <w:rFonts w:hint="eastAsia" w:ascii="宋体" w:eastAsia="宋体" w:hAnsiTheme="minorEastAsia"/>
                <w:sz w:val="21"/>
                <w:szCs w:val="21"/>
                <w:lang w:eastAsia="zh-CN"/>
              </w:rPr>
            </w:pPr>
            <w:r>
              <w:rPr>
                <w:rFonts w:hint="eastAsia" w:ascii="宋体" w:eastAsia="宋体" w:hAnsiTheme="minorEastAsia"/>
                <w:sz w:val="21"/>
                <w:szCs w:val="21"/>
                <w:lang w:val="en-US" w:eastAsia="zh-CN"/>
              </w:rPr>
              <w:t>9</w:t>
            </w:r>
          </w:p>
        </w:tc>
      </w:tr>
      <w:tr w14:paraId="5773308F">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1371"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9D4B920">
            <w:pPr>
              <w:snapToGrid w:val="0"/>
              <w:spacing w:line="240" w:lineRule="auto"/>
              <w:ind w:left="0" w:leftChars="0" w:right="0" w:rightChars="0" w:firstLine="0" w:firstLineChars="0"/>
              <w:jc w:val="center"/>
              <w:rPr>
                <w:rFonts w:ascii="宋体" w:eastAsia="宋体" w:hAnsiTheme="minorEastAsia"/>
                <w:b/>
                <w:sz w:val="21"/>
                <w:szCs w:val="21"/>
              </w:rPr>
            </w:pPr>
            <w:r>
              <w:rPr>
                <w:rFonts w:hint="eastAsia" w:ascii="宋体" w:eastAsia="宋体" w:hAnsiTheme="minorEastAsia"/>
                <w:b/>
                <w:sz w:val="21"/>
                <w:szCs w:val="21"/>
              </w:rPr>
              <w:t>荣誉</w:t>
            </w:r>
          </w:p>
        </w:tc>
        <w:tc>
          <w:tcPr>
            <w:tcW w:w="4914" w:type="dxa"/>
            <w:tcBorders>
              <w:top w:val="single" w:color="auto" w:sz="4" w:space="0"/>
              <w:left w:val="single" w:color="auto" w:sz="4" w:space="0"/>
              <w:right w:val="nil"/>
            </w:tcBorders>
            <w:noWrap w:val="0"/>
            <w:tcMar>
              <w:top w:w="-1" w:type="dxa"/>
              <w:left w:w="-1" w:type="dxa"/>
              <w:bottom w:w="-1" w:type="dxa"/>
              <w:right w:w="-1" w:type="dxa"/>
            </w:tcMar>
            <w:vAlign w:val="center"/>
          </w:tcPr>
          <w:p w14:paraId="3921D61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000000"/>
                <w:kern w:val="0"/>
                <w:sz w:val="21"/>
                <w:szCs w:val="21"/>
                <w:shd w:val="clear" w:color="080000" w:fill="FFFFFF"/>
                <w:lang w:val="en-US" w:eastAsia="zh-CN" w:bidi="ar-SA"/>
              </w:rPr>
            </w:pPr>
            <w:r>
              <w:rPr>
                <w:rFonts w:hint="eastAsia" w:ascii="宋体" w:hAnsi="宋体" w:eastAsia="宋体" w:cs="宋体"/>
                <w:color w:val="000000"/>
                <w:kern w:val="0"/>
                <w:sz w:val="21"/>
                <w:szCs w:val="21"/>
                <w:shd w:val="clear" w:color="080000" w:fill="FFFFFF"/>
                <w:lang w:val="en-US" w:eastAsia="zh-CN" w:bidi="ar-SA"/>
              </w:rPr>
              <w:t>自2023年1月1日起，投标人获得物业管理行政主管部门颁发的物业服务方面荣誉的，每提供一个得3分，满分3分。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72380DE">
            <w:pPr>
              <w:pStyle w:val="72"/>
              <w:widowControl/>
              <w:snapToGrid w:val="0"/>
              <w:spacing w:beforeAutospacing="0" w:afterAutospacing="0"/>
              <w:ind w:left="0" w:leftChars="0" w:right="0" w:rightChars="0" w:firstLine="0" w:firstLineChars="0"/>
              <w:jc w:val="left"/>
              <w:rPr>
                <w:rFonts w:ascii="宋体" w:eastAsia="宋体" w:cs="Times New Roman" w:hAnsiTheme="minorEastAsia"/>
                <w:color w:val="000000"/>
                <w:kern w:val="2"/>
                <w:sz w:val="21"/>
                <w:szCs w:val="21"/>
              </w:rPr>
            </w:pPr>
            <w:r>
              <w:rPr>
                <w:rFonts w:hint="eastAsia" w:ascii="宋体" w:eastAsia="宋体" w:cs="Times New Roman" w:hAnsiTheme="minorEastAsia"/>
                <w:color w:val="000000"/>
                <w:kern w:val="2"/>
                <w:sz w:val="21"/>
                <w:szCs w:val="21"/>
              </w:rPr>
              <w:t>提供获奖证明材料</w:t>
            </w:r>
            <w:r>
              <w:rPr>
                <w:rFonts w:hint="eastAsia" w:ascii="宋体" w:eastAsia="宋体" w:cs="Times New Roman" w:hAnsiTheme="minorEastAsia"/>
                <w:color w:val="000000"/>
                <w:kern w:val="2"/>
                <w:sz w:val="21"/>
                <w:szCs w:val="21"/>
                <w:lang w:eastAsia="zh-CN"/>
              </w:rPr>
              <w:t>（</w:t>
            </w:r>
            <w:r>
              <w:rPr>
                <w:rFonts w:hint="eastAsia" w:ascii="宋体" w:eastAsia="宋体" w:cs="Times New Roman" w:hAnsiTheme="minorEastAsia"/>
                <w:color w:val="000000"/>
                <w:kern w:val="2"/>
                <w:sz w:val="21"/>
                <w:szCs w:val="21"/>
              </w:rPr>
              <w:t>以</w:t>
            </w:r>
            <w:r>
              <w:rPr>
                <w:rFonts w:hint="eastAsia" w:ascii="宋体" w:eastAsia="宋体" w:cs="Times New Roman" w:hAnsiTheme="minorEastAsia"/>
                <w:color w:val="000000"/>
                <w:kern w:val="2"/>
                <w:sz w:val="21"/>
                <w:szCs w:val="21"/>
                <w:lang w:val="en-US" w:eastAsia="zh-CN"/>
              </w:rPr>
              <w:t>获</w:t>
            </w:r>
            <w:r>
              <w:rPr>
                <w:rFonts w:hint="eastAsia" w:ascii="宋体" w:eastAsia="宋体" w:cs="Times New Roman" w:hAnsiTheme="minorEastAsia"/>
                <w:color w:val="000000"/>
                <w:kern w:val="2"/>
                <w:sz w:val="21"/>
                <w:szCs w:val="21"/>
              </w:rPr>
              <w:t>奖</w:t>
            </w:r>
            <w:r>
              <w:rPr>
                <w:rFonts w:hint="eastAsia" w:ascii="宋体" w:eastAsia="宋体" w:cs="Times New Roman" w:hAnsiTheme="minorEastAsia"/>
                <w:color w:val="000000"/>
                <w:kern w:val="2"/>
                <w:sz w:val="21"/>
                <w:szCs w:val="21"/>
                <w:lang w:val="en-US" w:eastAsia="zh-CN"/>
              </w:rPr>
              <w:t>证明材料</w:t>
            </w:r>
            <w:r>
              <w:rPr>
                <w:rFonts w:hint="eastAsia" w:ascii="宋体" w:eastAsia="宋体" w:cs="Times New Roman" w:hAnsiTheme="minorEastAsia"/>
                <w:color w:val="000000"/>
                <w:kern w:val="2"/>
                <w:sz w:val="21"/>
                <w:szCs w:val="21"/>
              </w:rPr>
              <w:t>落款时间为准</w:t>
            </w:r>
            <w:r>
              <w:rPr>
                <w:rFonts w:hint="eastAsia" w:ascii="宋体" w:eastAsia="宋体" w:cs="Times New Roman" w:hAnsiTheme="minorEastAsia"/>
                <w:color w:val="000000"/>
                <w:kern w:val="2"/>
                <w:sz w:val="21"/>
                <w:szCs w:val="21"/>
                <w:lang w:eastAsia="zh-CN"/>
              </w:rPr>
              <w:t>）</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AEE0AB8">
            <w:pPr>
              <w:pStyle w:val="72"/>
              <w:widowControl/>
              <w:snapToGrid w:val="0"/>
              <w:spacing w:beforeAutospacing="0" w:afterAutospacing="0"/>
              <w:ind w:left="0" w:leftChars="0" w:right="0" w:rightChars="0" w:firstLine="0" w:firstLineChars="0"/>
              <w:jc w:val="center"/>
              <w:rPr>
                <w:rFonts w:hint="eastAsia" w:ascii="宋体" w:eastAsia="宋体" w:cs="Times New Roman" w:hAnsiTheme="minorEastAsia"/>
                <w:color w:val="000000"/>
                <w:kern w:val="2"/>
                <w:sz w:val="21"/>
                <w:szCs w:val="21"/>
                <w:lang w:eastAsia="zh-CN"/>
              </w:rPr>
            </w:pPr>
            <w:r>
              <w:rPr>
                <w:rFonts w:hint="eastAsia" w:ascii="宋体" w:eastAsia="宋体" w:cs="Times New Roman" w:hAnsiTheme="minorEastAsia"/>
                <w:color w:val="000000"/>
                <w:kern w:val="2"/>
                <w:sz w:val="21"/>
                <w:szCs w:val="21"/>
                <w:lang w:val="en-US" w:eastAsia="zh-CN"/>
              </w:rPr>
              <w:t>3</w:t>
            </w:r>
          </w:p>
        </w:tc>
      </w:tr>
      <w:tr w14:paraId="389A9548">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2A3DB7A">
            <w:pPr>
              <w:snapToGrid w:val="0"/>
              <w:spacing w:line="240" w:lineRule="auto"/>
              <w:ind w:left="0" w:leftChars="0" w:right="0" w:rightChars="0" w:firstLine="0" w:firstLineChars="0"/>
              <w:jc w:val="center"/>
              <w:rPr>
                <w:rFonts w:ascii="宋体" w:eastAsia="宋体" w:hAnsiTheme="minorEastAsia"/>
                <w:b/>
                <w:color w:val="000000" w:themeColor="text1"/>
                <w:sz w:val="21"/>
                <w:szCs w:val="21"/>
                <w14:textFill>
                  <w14:solidFill>
                    <w14:schemeClr w14:val="tx1"/>
                  </w14:solidFill>
                </w14:textFill>
              </w:rPr>
            </w:pPr>
            <w:r>
              <w:rPr>
                <w:rFonts w:hint="eastAsia" w:ascii="宋体" w:eastAsia="宋体" w:cs="仿宋_GB2312" w:hAnsiTheme="minorEastAsia"/>
                <w:b/>
                <w:bCs/>
                <w:color w:val="000000" w:themeColor="text1"/>
                <w:sz w:val="21"/>
                <w:szCs w:val="21"/>
                <w:shd w:val="clear" w:color="0A0000" w:fill="FFFFFF"/>
                <w14:textFill>
                  <w14:solidFill>
                    <w14:schemeClr w14:val="tx1"/>
                  </w14:solidFill>
                </w14:textFill>
              </w:rPr>
              <w:t>业绩</w:t>
            </w:r>
          </w:p>
        </w:tc>
        <w:tc>
          <w:tcPr>
            <w:tcW w:w="491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F14FF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ascii="宋体" w:eastAsia="宋体" w:cs="仿宋_GB2312" w:hAnsiTheme="minorEastAsia"/>
                <w:b/>
                <w:color w:val="000000" w:themeColor="text1"/>
                <w:sz w:val="21"/>
                <w:szCs w:val="21"/>
                <w:shd w:val="clear" w:color="080000" w:fill="FFFFFF"/>
                <w14:textFill>
                  <w14:solidFill>
                    <w14:schemeClr w14:val="tx1"/>
                  </w14:solidFill>
                </w14:textFill>
              </w:rPr>
            </w:pPr>
            <w:r>
              <w:rPr>
                <w:rFonts w:hint="eastAsia" w:ascii="宋体" w:hAnsi="宋体" w:eastAsia="宋体" w:cs="宋体"/>
                <w:color w:val="000000" w:themeColor="text1"/>
                <w:kern w:val="0"/>
                <w:sz w:val="21"/>
                <w:szCs w:val="21"/>
                <w:shd w:val="clear" w:color="080000" w:fill="FFFFFF"/>
                <w:lang w:val="en-US" w:eastAsia="zh-CN"/>
                <w14:textFill>
                  <w14:solidFill>
                    <w14:schemeClr w14:val="tx1"/>
                  </w14:solidFill>
                </w14:textFill>
              </w:rPr>
              <w:t>自2023年1月1日起，投标人承担过党政机关、企事业单位、团体组织物业服务项目的，每提供一份合同的得6分，最高得12分。</w:t>
            </w:r>
          </w:p>
        </w:tc>
        <w:tc>
          <w:tcPr>
            <w:tcW w:w="16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87C1C57">
            <w:pPr>
              <w:autoSpaceDE w:val="0"/>
              <w:autoSpaceDN w:val="0"/>
              <w:adjustRightInd w:val="0"/>
              <w:snapToGrid w:val="0"/>
              <w:spacing w:line="240" w:lineRule="auto"/>
              <w:ind w:left="0" w:leftChars="0" w:right="0" w:rightChars="0" w:firstLine="0" w:firstLineChars="0"/>
              <w:jc w:val="left"/>
              <w:rPr>
                <w:rFonts w:ascii="宋体" w:eastAsia="宋体" w:cs="黑体" w:hAnsiTheme="minorEastAsia"/>
                <w:color w:val="000000" w:themeColor="text1"/>
                <w:sz w:val="21"/>
                <w:szCs w:val="21"/>
                <w14:textFill>
                  <w14:solidFill>
                    <w14:schemeClr w14:val="tx1"/>
                  </w14:solidFill>
                </w14:textFill>
              </w:rPr>
            </w:pPr>
            <w:r>
              <w:rPr>
                <w:rFonts w:hint="eastAsia" w:ascii="宋体" w:eastAsia="宋体" w:cs="黑体" w:hAnsiTheme="minorEastAsia"/>
                <w:color w:val="000000" w:themeColor="text1"/>
                <w:sz w:val="21"/>
                <w:szCs w:val="21"/>
                <w14:textFill>
                  <w14:solidFill>
                    <w14:schemeClr w14:val="tx1"/>
                  </w14:solidFill>
                </w14:textFill>
              </w:rPr>
              <w:t>提供合同</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以合同签订时间为准</w:t>
            </w:r>
            <w:r>
              <w:rPr>
                <w:rFonts w:hint="eastAsia" w:ascii="宋体" w:hAnsi="宋体" w:eastAsia="宋体"/>
                <w:color w:val="000000" w:themeColor="text1"/>
                <w:sz w:val="21"/>
                <w:szCs w:val="21"/>
                <w:lang w:eastAsia="zh-CN"/>
                <w14:textFill>
                  <w14:solidFill>
                    <w14:schemeClr w14:val="tx1"/>
                  </w14:solidFill>
                </w14:textFill>
              </w:rPr>
              <w:t>）</w:t>
            </w:r>
            <w:r>
              <w:rPr>
                <w:rFonts w:hint="eastAsia" w:ascii="宋体" w:eastAsia="宋体" w:cs="黑体" w:hAnsiTheme="minorEastAsia"/>
                <w:color w:val="000000" w:themeColor="text1"/>
                <w:sz w:val="21"/>
                <w:szCs w:val="21"/>
                <w:lang w:eastAsia="zh-CN"/>
                <w14:textFill>
                  <w14:solidFill>
                    <w14:schemeClr w14:val="tx1"/>
                  </w14:solidFill>
                </w14:textFill>
              </w:rPr>
              <w:t>复印件或扫描打印件</w:t>
            </w:r>
            <w:r>
              <w:rPr>
                <w:rFonts w:hint="eastAsia" w:ascii="宋体" w:eastAsia="宋体" w:cs="黑体" w:hAnsiTheme="minorEastAsia"/>
                <w:color w:val="000000" w:themeColor="text1"/>
                <w:sz w:val="21"/>
                <w:szCs w:val="21"/>
                <w14:textFill>
                  <w14:solidFill>
                    <w14:schemeClr w14:val="tx1"/>
                  </w14:solidFill>
                </w14:textFill>
              </w:rPr>
              <w:t>放入投标</w:t>
            </w:r>
            <w:r>
              <w:rPr>
                <w:rFonts w:hint="eastAsia" w:ascii="宋体" w:eastAsia="宋体" w:cs="仿宋_GB2312" w:hAnsiTheme="minorEastAsia"/>
                <w:color w:val="000000" w:themeColor="text1"/>
                <w:sz w:val="21"/>
                <w:szCs w:val="21"/>
                <w:shd w:val="clear" w:color="080000" w:fill="FFFFFF"/>
                <w:lang w:eastAsia="zh-CN"/>
                <w14:textFill>
                  <w14:solidFill>
                    <w14:schemeClr w14:val="tx1"/>
                  </w14:solidFill>
                </w14:textFill>
              </w:rPr>
              <w:t>（</w:t>
            </w:r>
            <w:r>
              <w:rPr>
                <w:rFonts w:hint="eastAsia" w:ascii="宋体" w:eastAsia="宋体" w:cs="仿宋_GB2312" w:hAnsiTheme="minorEastAsia"/>
                <w:color w:val="000000" w:themeColor="text1"/>
                <w:sz w:val="21"/>
                <w:szCs w:val="21"/>
                <w:shd w:val="clear" w:color="080000" w:fill="FFFFFF"/>
                <w:lang w:val="en-US" w:eastAsia="zh-CN"/>
                <w14:textFill>
                  <w14:solidFill>
                    <w14:schemeClr w14:val="tx1"/>
                  </w14:solidFill>
                </w14:textFill>
              </w:rPr>
              <w:t>响应</w:t>
            </w:r>
            <w:r>
              <w:rPr>
                <w:rFonts w:hint="eastAsia" w:ascii="宋体" w:eastAsia="宋体" w:cs="仿宋_GB2312" w:hAnsiTheme="minorEastAsia"/>
                <w:color w:val="000000" w:themeColor="text1"/>
                <w:sz w:val="21"/>
                <w:szCs w:val="21"/>
                <w:shd w:val="clear" w:color="080000" w:fill="FFFFFF"/>
                <w:lang w:eastAsia="zh-CN"/>
                <w14:textFill>
                  <w14:solidFill>
                    <w14:schemeClr w14:val="tx1"/>
                  </w14:solidFill>
                </w14:textFill>
              </w:rPr>
              <w:t>）</w:t>
            </w:r>
            <w:r>
              <w:rPr>
                <w:rFonts w:hint="eastAsia" w:ascii="宋体" w:eastAsia="宋体" w:cs="黑体" w:hAnsiTheme="minorEastAsia"/>
                <w:color w:val="000000" w:themeColor="text1"/>
                <w:sz w:val="21"/>
                <w:szCs w:val="21"/>
                <w14:textFill>
                  <w14:solidFill>
                    <w14:schemeClr w14:val="tx1"/>
                  </w14:solidFill>
                </w14:textFill>
              </w:rPr>
              <w:t>文件中，未提供的不得分</w:t>
            </w:r>
          </w:p>
        </w:tc>
        <w:tc>
          <w:tcPr>
            <w:tcW w:w="779"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B3A12F2">
            <w:pPr>
              <w:autoSpaceDE w:val="0"/>
              <w:autoSpaceDN w:val="0"/>
              <w:adjustRightInd w:val="0"/>
              <w:snapToGrid w:val="0"/>
              <w:spacing w:line="240" w:lineRule="auto"/>
              <w:ind w:left="0" w:leftChars="0" w:right="0" w:rightChars="0" w:firstLine="0" w:firstLineChars="0"/>
              <w:jc w:val="center"/>
              <w:rPr>
                <w:rFonts w:hint="default" w:ascii="宋体" w:eastAsia="宋体" w:cs="黑体" w:hAnsiTheme="minorEastAsia"/>
                <w:color w:val="000000" w:themeColor="text1"/>
                <w:sz w:val="21"/>
                <w:szCs w:val="21"/>
                <w:lang w:val="en-US" w:eastAsia="zh-CN"/>
                <w14:textFill>
                  <w14:solidFill>
                    <w14:schemeClr w14:val="tx1"/>
                  </w14:solidFill>
                </w14:textFill>
              </w:rPr>
            </w:pPr>
            <w:r>
              <w:rPr>
                <w:rFonts w:hint="eastAsia" w:ascii="宋体" w:eastAsia="宋体" w:cs="黑体" w:hAnsiTheme="minorEastAsia"/>
                <w:color w:val="000000" w:themeColor="text1"/>
                <w:sz w:val="21"/>
                <w:szCs w:val="21"/>
                <w:lang w:val="en-US" w:eastAsia="zh-CN"/>
                <w14:textFill>
                  <w14:solidFill>
                    <w14:schemeClr w14:val="tx1"/>
                  </w14:solidFill>
                </w14:textFill>
              </w:rPr>
              <w:t>12</w:t>
            </w:r>
          </w:p>
        </w:tc>
      </w:tr>
      <w:tr w14:paraId="14B8D1FB">
        <w:tblPrEx>
          <w:tblBorders>
            <w:top w:val="none" w:color="auto" w:sz="12" w:space="0"/>
            <w:left w:val="none" w:color="auto" w:sz="12" w:space="0"/>
            <w:bottom w:val="none" w:color="auto" w:sz="12" w:space="0"/>
            <w:right w:val="none" w:color="auto" w:sz="12" w:space="0"/>
            <w:insideH w:val="none" w:color="auto" w:sz="6" w:space="0"/>
            <w:insideV w:val="none" w:color="auto" w:sz="6" w:space="0"/>
          </w:tblBorders>
          <w:tblCellMar>
            <w:top w:w="0" w:type="dxa"/>
            <w:left w:w="108" w:type="dxa"/>
            <w:bottom w:w="0" w:type="dxa"/>
            <w:right w:w="108" w:type="dxa"/>
          </w:tblCellMar>
        </w:tblPrEx>
        <w:trPr>
          <w:trHeight w:val="0" w:hRule="atLeast"/>
          <w:jc w:val="center"/>
        </w:trPr>
        <w:tc>
          <w:tcPr>
            <w:tcW w:w="120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60E524E">
            <w:pPr>
              <w:snapToGrid w:val="0"/>
              <w:spacing w:line="240" w:lineRule="auto"/>
              <w:ind w:left="0" w:leftChars="0" w:right="0" w:rightChars="0" w:firstLine="0" w:firstLineChars="0"/>
              <w:jc w:val="center"/>
              <w:rPr>
                <w:rFonts w:ascii="宋体" w:eastAsia="宋体" w:hAnsiTheme="minorEastAsia"/>
                <w:b/>
                <w:bCs/>
                <w:spacing w:val="-12"/>
                <w:sz w:val="21"/>
                <w:szCs w:val="21"/>
              </w:rPr>
            </w:pPr>
            <w:r>
              <w:rPr>
                <w:rFonts w:hint="eastAsia" w:ascii="宋体" w:eastAsia="宋体" w:hAnsiTheme="minorEastAsia"/>
                <w:b/>
                <w:sz w:val="21"/>
                <w:szCs w:val="21"/>
              </w:rPr>
              <w:t>报价</w:t>
            </w:r>
          </w:p>
        </w:tc>
        <w:tc>
          <w:tcPr>
            <w:tcW w:w="4914"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3CD1CB6A">
            <w:pPr>
              <w:snapToGrid w:val="0"/>
              <w:ind w:left="0" w:leftChars="0" w:right="0" w:rightChars="0" w:firstLine="0" w:firstLineChars="0"/>
              <w:jc w:val="left"/>
              <w:rPr>
                <w:rFonts w:hint="eastAsia" w:ascii="宋体" w:hAnsi="宋体" w:eastAsia="宋体" w:cs="黑体"/>
                <w:color w:val="000000"/>
                <w:sz w:val="21"/>
                <w:szCs w:val="21"/>
              </w:rPr>
            </w:pPr>
            <w:r>
              <w:rPr>
                <w:rFonts w:hint="eastAsia" w:ascii="宋体" w:hAnsi="宋体" w:eastAsia="宋体" w:cs="黑体"/>
                <w:color w:val="000000"/>
                <w:sz w:val="21"/>
                <w:szCs w:val="21"/>
              </w:rPr>
              <w:t>满足</w:t>
            </w:r>
            <w:r>
              <w:rPr>
                <w:rFonts w:hint="eastAsia" w:ascii="宋体" w:hAnsi="宋体" w:eastAsia="宋体" w:cs="黑体"/>
                <w:color w:val="000000"/>
                <w:sz w:val="21"/>
                <w:szCs w:val="21"/>
                <w:lang w:val="en-US" w:eastAsia="zh-CN"/>
              </w:rPr>
              <w:t>招标</w:t>
            </w:r>
            <w:r>
              <w:rPr>
                <w:rFonts w:hint="eastAsia" w:ascii="宋体" w:hAnsi="宋体" w:eastAsia="宋体" w:cs="黑体"/>
                <w:color w:val="000000"/>
                <w:sz w:val="21"/>
                <w:szCs w:val="21"/>
              </w:rPr>
              <w:t>文件要求且最后报价最低的供应商的价格为</w:t>
            </w:r>
            <w:r>
              <w:rPr>
                <w:rFonts w:hint="eastAsia" w:ascii="宋体" w:hAnsi="宋体" w:eastAsia="宋体" w:cs="黑体"/>
                <w:color w:val="000000"/>
                <w:sz w:val="21"/>
                <w:szCs w:val="21"/>
                <w:lang w:val="en-US" w:eastAsia="zh-CN"/>
              </w:rPr>
              <w:t>评标</w:t>
            </w:r>
            <w:r>
              <w:rPr>
                <w:rFonts w:hint="eastAsia" w:ascii="宋体" w:hAnsi="宋体" w:eastAsia="宋体" w:cs="黑体"/>
                <w:color w:val="000000"/>
                <w:sz w:val="21"/>
                <w:szCs w:val="21"/>
              </w:rPr>
              <w:t>基准价，其价格分为满分</w:t>
            </w:r>
            <w:r>
              <w:rPr>
                <w:rFonts w:hint="eastAsia" w:ascii="宋体" w:hAnsi="宋体" w:eastAsia="宋体" w:cs="黑体"/>
                <w:color w:val="000000"/>
                <w:sz w:val="21"/>
                <w:szCs w:val="21"/>
                <w:lang w:val="en-US" w:eastAsia="zh-CN"/>
              </w:rPr>
              <w:t>30</w:t>
            </w:r>
            <w:r>
              <w:rPr>
                <w:rFonts w:hint="eastAsia" w:ascii="宋体" w:hAnsi="宋体" w:eastAsia="宋体" w:cs="黑体"/>
                <w:color w:val="000000"/>
                <w:sz w:val="21"/>
                <w:szCs w:val="21"/>
              </w:rPr>
              <w:t>分。其他供应商的价格分统一按照下列公式计算：</w:t>
            </w:r>
          </w:p>
          <w:p w14:paraId="7267CDBD">
            <w:pPr>
              <w:snapToGrid w:val="0"/>
              <w:jc w:val="left"/>
              <w:rPr>
                <w:rFonts w:ascii="宋体" w:eastAsia="宋体" w:cs="黑体" w:hAnsiTheme="minorEastAsia"/>
                <w:color w:val="000000"/>
                <w:sz w:val="21"/>
                <w:szCs w:val="21"/>
              </w:rPr>
            </w:pPr>
            <w:r>
              <w:rPr>
                <w:rFonts w:hint="eastAsia" w:ascii="宋体" w:hAnsi="宋体" w:eastAsia="宋体" w:cs="黑体"/>
                <w:color w:val="000000"/>
                <w:sz w:val="21"/>
                <w:szCs w:val="21"/>
                <w:lang w:val="en-US" w:eastAsia="zh-CN"/>
              </w:rPr>
              <w:t>投标</w:t>
            </w:r>
            <w:r>
              <w:rPr>
                <w:rFonts w:hint="eastAsia" w:ascii="宋体" w:hAnsi="宋体" w:eastAsia="宋体" w:cs="黑体"/>
                <w:color w:val="000000"/>
                <w:sz w:val="21"/>
                <w:szCs w:val="21"/>
              </w:rPr>
              <w:t>报价得分=（</w:t>
            </w:r>
            <w:r>
              <w:rPr>
                <w:rFonts w:hint="eastAsia" w:ascii="宋体" w:hAnsi="宋体" w:eastAsia="宋体" w:cs="黑体"/>
                <w:color w:val="000000"/>
                <w:sz w:val="21"/>
                <w:szCs w:val="21"/>
                <w:lang w:val="en-US" w:eastAsia="zh-CN"/>
              </w:rPr>
              <w:t>评标</w:t>
            </w:r>
            <w:r>
              <w:rPr>
                <w:rFonts w:hint="eastAsia" w:ascii="宋体" w:hAnsi="宋体" w:eastAsia="宋体" w:cs="黑体"/>
                <w:color w:val="000000"/>
                <w:sz w:val="21"/>
                <w:szCs w:val="21"/>
              </w:rPr>
              <w:t>基准价/</w:t>
            </w:r>
            <w:r>
              <w:rPr>
                <w:rFonts w:hint="eastAsia" w:ascii="宋体" w:hAnsi="宋体" w:eastAsia="宋体" w:cs="黑体"/>
                <w:color w:val="000000"/>
                <w:sz w:val="21"/>
                <w:szCs w:val="21"/>
                <w:lang w:val="en-US" w:eastAsia="zh-CN"/>
              </w:rPr>
              <w:t>投标</w:t>
            </w:r>
            <w:r>
              <w:rPr>
                <w:rFonts w:hint="eastAsia" w:ascii="宋体" w:hAnsi="宋体" w:eastAsia="宋体" w:cs="黑体"/>
                <w:color w:val="000000"/>
                <w:sz w:val="21"/>
                <w:szCs w:val="21"/>
              </w:rPr>
              <w:t>报价）×</w:t>
            </w:r>
            <w:r>
              <w:rPr>
                <w:rFonts w:hint="eastAsia" w:ascii="宋体" w:eastAsia="宋体" w:cs="黑体" w:hAnsiTheme="minorEastAsia"/>
                <w:color w:val="000000"/>
                <w:sz w:val="21"/>
                <w:szCs w:val="21"/>
              </w:rPr>
              <w:t>30</w:t>
            </w:r>
            <w:r>
              <w:rPr>
                <w:rFonts w:hint="eastAsia" w:ascii="宋体" w:eastAsia="宋体" w:cs="黑体" w:hAnsiTheme="minorEastAsia"/>
                <w:color w:val="000000"/>
                <w:sz w:val="21"/>
                <w:szCs w:val="21"/>
                <w:lang w:val="en-US" w:eastAsia="zh-CN"/>
              </w:rPr>
              <w:t>%</w:t>
            </w:r>
            <w:r>
              <w:rPr>
                <w:rFonts w:hint="eastAsia" w:ascii="宋体" w:eastAsia="宋体" w:cs="黑体" w:hAnsiTheme="minorEastAsia"/>
                <w:color w:val="000000"/>
                <w:sz w:val="21"/>
                <w:szCs w:val="21"/>
              </w:rPr>
              <w:t>×</w:t>
            </w:r>
            <w:r>
              <w:rPr>
                <w:rFonts w:hint="eastAsia" w:ascii="宋体" w:eastAsia="宋体" w:cs="黑体" w:hAnsiTheme="minorEastAsia"/>
                <w:color w:val="000000"/>
                <w:sz w:val="21"/>
                <w:szCs w:val="21"/>
                <w:lang w:val="en-US" w:eastAsia="zh-CN"/>
              </w:rPr>
              <w:t>100</w:t>
            </w:r>
            <w:r>
              <w:rPr>
                <w:rFonts w:hint="eastAsia" w:ascii="宋体" w:hAnsi="宋体" w:eastAsia="宋体" w:cs="黑体"/>
                <w:color w:val="000000"/>
                <w:sz w:val="21"/>
                <w:szCs w:val="21"/>
              </w:rPr>
              <w:t>（四舍五入，精确到小数点后两位）。</w:t>
            </w:r>
          </w:p>
        </w:tc>
        <w:tc>
          <w:tcPr>
            <w:tcW w:w="1628"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A3E2E74">
            <w:pPr>
              <w:autoSpaceDE w:val="0"/>
              <w:autoSpaceDN w:val="0"/>
              <w:adjustRightInd w:val="0"/>
              <w:snapToGrid w:val="0"/>
              <w:spacing w:line="240" w:lineRule="auto"/>
              <w:ind w:left="0" w:leftChars="0" w:right="0" w:rightChars="0" w:firstLine="0" w:firstLineChars="0"/>
              <w:jc w:val="left"/>
              <w:rPr>
                <w:rFonts w:ascii="宋体" w:eastAsia="宋体" w:hAnsiTheme="minorEastAsia"/>
                <w:sz w:val="21"/>
                <w:szCs w:val="21"/>
              </w:rPr>
            </w:pPr>
            <w:r>
              <w:rPr>
                <w:rFonts w:hint="eastAsia" w:ascii="宋体" w:eastAsia="宋体" w:hAnsiTheme="minorEastAsia"/>
                <w:sz w:val="21"/>
                <w:szCs w:val="21"/>
              </w:rPr>
              <w:t>以报价表中的金额为准</w:t>
            </w:r>
          </w:p>
        </w:tc>
        <w:tc>
          <w:tcPr>
            <w:tcW w:w="779"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4BA33484">
            <w:pPr>
              <w:autoSpaceDE w:val="0"/>
              <w:autoSpaceDN w:val="0"/>
              <w:adjustRightInd w:val="0"/>
              <w:snapToGrid w:val="0"/>
              <w:spacing w:line="240" w:lineRule="auto"/>
              <w:ind w:left="0" w:leftChars="0" w:right="0" w:rightChars="0" w:firstLine="0" w:firstLineChars="0"/>
              <w:jc w:val="center"/>
              <w:rPr>
                <w:rFonts w:ascii="宋体" w:eastAsia="宋体" w:hAnsiTheme="minorEastAsia"/>
                <w:sz w:val="21"/>
                <w:szCs w:val="21"/>
              </w:rPr>
            </w:pPr>
            <w:r>
              <w:rPr>
                <w:rFonts w:hint="eastAsia" w:ascii="宋体" w:eastAsia="宋体" w:hAnsiTheme="minorEastAsia"/>
                <w:sz w:val="21"/>
                <w:szCs w:val="21"/>
              </w:rPr>
              <w:t>30</w:t>
            </w:r>
          </w:p>
        </w:tc>
      </w:tr>
    </w:tbl>
    <w:p w14:paraId="0799125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olor w:val="auto"/>
          <w:sz w:val="24"/>
          <w:highlight w:val="none"/>
        </w:rPr>
      </w:pPr>
    </w:p>
    <w:p w14:paraId="2332DF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分值汇总</w:t>
      </w:r>
    </w:p>
    <w:p w14:paraId="101B55A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57E3ACD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（2）将投标人的技术资信分加上根据上述标准计算出的价格分，即为该投标人的综合总得分。</w:t>
      </w:r>
    </w:p>
    <w:p w14:paraId="0003E4DB">
      <w:pPr>
        <w:keepNext w:val="0"/>
        <w:keepLines w:val="0"/>
        <w:pageBreakBefore w:val="0"/>
        <w:widowControl w:val="0"/>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宋体" w:hAnsi="宋体" w:eastAsia="宋体" w:cs="宋体"/>
          <w:b/>
          <w:bCs/>
          <w:color w:val="auto"/>
          <w:sz w:val="24"/>
          <w:szCs w:val="24"/>
        </w:rPr>
      </w:pPr>
      <w:bookmarkStart w:id="32" w:name="_TOC_250001"/>
      <w:r>
        <w:rPr>
          <w:rFonts w:hint="eastAsia" w:ascii="宋体" w:hAnsi="宋体" w:eastAsia="宋体"/>
          <w:color w:val="auto"/>
          <w:sz w:val="24"/>
          <w:highlight w:val="none"/>
          <w:lang w:val="en-US" w:eastAsia="zh-CN"/>
        </w:rPr>
        <w:t>（3）因落实促进</w:t>
      </w:r>
      <w:r>
        <w:rPr>
          <w:rFonts w:hint="eastAsia" w:ascii="宋体" w:hAnsi="宋体" w:eastAsia="宋体"/>
          <w:color w:val="auto"/>
          <w:sz w:val="24"/>
          <w:highlight w:val="none"/>
          <w:lang w:val="en-US" w:eastAsia="en-US"/>
        </w:rPr>
        <w:t>中小企业</w:t>
      </w:r>
      <w:r>
        <w:rPr>
          <w:rFonts w:hint="eastAsia" w:ascii="宋体" w:hAnsi="宋体" w:eastAsia="宋体"/>
          <w:color w:val="auto"/>
          <w:sz w:val="24"/>
          <w:highlight w:val="none"/>
          <w:lang w:val="en-US" w:eastAsia="zh-CN"/>
        </w:rPr>
        <w:t>发展、</w:t>
      </w:r>
      <w:r>
        <w:rPr>
          <w:rFonts w:hint="eastAsia" w:ascii="宋体" w:hAnsi="宋体" w:eastAsia="宋体"/>
          <w:color w:val="auto"/>
          <w:sz w:val="24"/>
          <w:highlight w:val="none"/>
        </w:rPr>
        <w:t>促进残疾人就业</w:t>
      </w:r>
      <w:r>
        <w:rPr>
          <w:rFonts w:hint="eastAsia" w:ascii="宋体" w:hAnsi="宋体" w:eastAsia="宋体"/>
          <w:color w:val="auto"/>
          <w:sz w:val="24"/>
          <w:highlight w:val="none"/>
          <w:lang w:val="en-US" w:eastAsia="zh-CN"/>
        </w:rPr>
        <w:t>、支持监狱企业发展等政府采购政策进行价格调整的，以调整后的价格计算评标基准价和投标报价。</w:t>
      </w:r>
    </w:p>
    <w:p w14:paraId="46DA3512">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4EE7313">
      <w:pPr>
        <w:pStyle w:val="3"/>
        <w:tabs>
          <w:tab w:val="left" w:pos="1622"/>
        </w:tabs>
        <w:wordWrap/>
        <w:adjustRightInd/>
        <w:snapToGrid w:val="0"/>
        <w:spacing w:after="0" w:line="360" w:lineRule="auto"/>
        <w:ind w:right="109"/>
        <w:jc w:val="center"/>
        <w:textAlignment w:val="auto"/>
        <w:rPr>
          <w:rFonts w:hint="eastAsia" w:cs="宋体"/>
          <w:b/>
          <w:bCs/>
          <w:color w:val="auto"/>
          <w:spacing w:val="1"/>
          <w:sz w:val="24"/>
          <w:szCs w:val="24"/>
          <w:lang w:eastAsia="zh-CN"/>
        </w:rPr>
      </w:pPr>
      <w:r>
        <w:rPr>
          <w:rFonts w:hint="eastAsia" w:cs="宋体"/>
          <w:b/>
          <w:bCs/>
          <w:color w:val="auto"/>
          <w:spacing w:val="1"/>
          <w:sz w:val="24"/>
          <w:szCs w:val="24"/>
          <w:lang w:eastAsia="zh-CN"/>
        </w:rPr>
        <w:t>第五章</w:t>
      </w:r>
      <w:bookmarkEnd w:id="32"/>
      <w:r>
        <w:rPr>
          <w:rFonts w:hint="eastAsia" w:cs="宋体"/>
          <w:b/>
          <w:bCs/>
          <w:color w:val="auto"/>
          <w:spacing w:val="1"/>
          <w:sz w:val="24"/>
          <w:szCs w:val="24"/>
          <w:lang w:val="en-US" w:eastAsia="zh-CN"/>
        </w:rPr>
        <w:t xml:space="preserve">   </w:t>
      </w:r>
      <w:r>
        <w:rPr>
          <w:rFonts w:hint="eastAsia" w:cs="宋体"/>
          <w:b/>
          <w:bCs/>
          <w:color w:val="auto"/>
          <w:spacing w:val="1"/>
          <w:sz w:val="24"/>
          <w:szCs w:val="24"/>
          <w:lang w:eastAsia="zh-CN"/>
        </w:rPr>
        <w:t>政府采购合同</w:t>
      </w:r>
    </w:p>
    <w:p w14:paraId="1C4A0011">
      <w:pPr>
        <w:spacing w:after="0" w:line="480" w:lineRule="auto"/>
        <w:jc w:val="center"/>
        <w:outlineLvl w:val="9"/>
        <w:rPr>
          <w:rFonts w:ascii="宋体" w:hAnsi="宋体" w:eastAsia="宋体" w:cs="Times New Roman"/>
          <w:b/>
          <w:color w:val="auto"/>
          <w:kern w:val="2"/>
          <w:sz w:val="28"/>
          <w:szCs w:val="28"/>
          <w:lang w:eastAsia="zh-CN"/>
        </w:rPr>
      </w:pPr>
      <w:bookmarkStart w:id="33" w:name="_TOC_250000"/>
    </w:p>
    <w:p w14:paraId="230D5663">
      <w:pPr>
        <w:widowControl w:val="0"/>
        <w:spacing w:after="120"/>
        <w:jc w:val="both"/>
        <w:rPr>
          <w:rFonts w:ascii="@微软简标宋" w:hAnsi="@微软简标宋" w:eastAsia="@微软简标宋" w:cs="@微软简标宋"/>
          <w:color w:val="auto"/>
          <w:kern w:val="2"/>
          <w:sz w:val="21"/>
          <w:szCs w:val="24"/>
          <w:lang w:val="zh-CN" w:eastAsia="zh-CN" w:bidi="ar-SA"/>
        </w:rPr>
      </w:pPr>
    </w:p>
    <w:p w14:paraId="34D45EBF">
      <w:pPr>
        <w:spacing w:after="0" w:line="480" w:lineRule="auto"/>
        <w:jc w:val="center"/>
        <w:outlineLvl w:val="1"/>
        <w:rPr>
          <w:rFonts w:ascii="宋体" w:hAnsi="宋体" w:eastAsia="宋体" w:cs="Times New Roman"/>
          <w:b/>
          <w:color w:val="auto"/>
          <w:kern w:val="2"/>
          <w:sz w:val="28"/>
          <w:szCs w:val="28"/>
          <w:lang w:eastAsia="zh-CN"/>
        </w:rPr>
      </w:pPr>
      <w:bookmarkStart w:id="34" w:name="_Toc3714"/>
      <w:r>
        <w:rPr>
          <w:rFonts w:ascii="宋体" w:hAnsi="宋体" w:eastAsia="宋体" w:cs="Times New Roman"/>
          <w:b/>
          <w:color w:val="auto"/>
          <w:kern w:val="2"/>
          <w:sz w:val="28"/>
          <w:szCs w:val="28"/>
          <w:lang w:eastAsia="zh-CN"/>
        </w:rPr>
        <w:t>政府采购合同</w:t>
      </w:r>
      <w:r>
        <w:rPr>
          <w:rFonts w:hint="eastAsia" w:ascii="宋体" w:hAnsi="宋体" w:eastAsia="宋体" w:cs="Times New Roman"/>
          <w:b/>
          <w:color w:val="auto"/>
          <w:kern w:val="2"/>
          <w:sz w:val="28"/>
          <w:szCs w:val="28"/>
          <w:lang w:eastAsia="zh-CN"/>
        </w:rPr>
        <w:t>参考范本</w:t>
      </w:r>
      <w:bookmarkEnd w:id="34"/>
    </w:p>
    <w:p w14:paraId="37C735E0">
      <w:pPr>
        <w:spacing w:after="0" w:line="480" w:lineRule="auto"/>
        <w:jc w:val="center"/>
        <w:outlineLvl w:val="1"/>
        <w:rPr>
          <w:rFonts w:ascii="宋体" w:hAnsi="宋体" w:eastAsia="宋体" w:cs="Times New Roman"/>
          <w:b/>
          <w:color w:val="auto"/>
          <w:kern w:val="2"/>
          <w:sz w:val="28"/>
          <w:szCs w:val="28"/>
          <w:lang w:eastAsia="zh-CN"/>
        </w:rPr>
      </w:pPr>
      <w:bookmarkStart w:id="35" w:name="_Toc8560"/>
      <w:r>
        <w:rPr>
          <w:rFonts w:hint="eastAsia" w:ascii="宋体" w:hAnsi="宋体" w:eastAsia="宋体" w:cs="Times New Roman"/>
          <w:b/>
          <w:color w:val="auto"/>
          <w:kern w:val="2"/>
          <w:sz w:val="28"/>
          <w:szCs w:val="28"/>
          <w:lang w:eastAsia="zh-CN"/>
        </w:rPr>
        <w:t>（服务类）</w:t>
      </w:r>
      <w:bookmarkEnd w:id="35"/>
    </w:p>
    <w:p w14:paraId="33471B40">
      <w:pPr>
        <w:spacing w:after="0" w:line="480" w:lineRule="auto"/>
        <w:jc w:val="center"/>
        <w:rPr>
          <w:rFonts w:ascii="宋体" w:hAnsi="宋体" w:eastAsia="宋体" w:cs="Times New Roman"/>
          <w:b/>
          <w:color w:val="auto"/>
          <w:kern w:val="2"/>
          <w:sz w:val="24"/>
          <w:szCs w:val="24"/>
          <w:lang w:eastAsia="zh-CN"/>
        </w:rPr>
      </w:pPr>
    </w:p>
    <w:p w14:paraId="663443B9">
      <w:pPr>
        <w:spacing w:after="0" w:line="480" w:lineRule="auto"/>
        <w:jc w:val="center"/>
        <w:rPr>
          <w:rFonts w:ascii="宋体" w:hAnsi="宋体" w:eastAsia="宋体" w:cs="Times New Roman"/>
          <w:b/>
          <w:color w:val="auto"/>
          <w:kern w:val="2"/>
          <w:sz w:val="24"/>
          <w:szCs w:val="24"/>
          <w:lang w:eastAsia="zh-CN"/>
        </w:rPr>
      </w:pPr>
    </w:p>
    <w:p w14:paraId="2F7A317D">
      <w:pPr>
        <w:spacing w:after="0" w:line="480" w:lineRule="auto"/>
        <w:jc w:val="center"/>
        <w:rPr>
          <w:rFonts w:ascii="宋体" w:hAnsi="宋体" w:eastAsia="宋体" w:cs="Times New Roman"/>
          <w:b/>
          <w:color w:val="auto"/>
          <w:kern w:val="2"/>
          <w:sz w:val="24"/>
          <w:szCs w:val="24"/>
          <w:lang w:eastAsia="zh-CN"/>
        </w:rPr>
      </w:pPr>
    </w:p>
    <w:p w14:paraId="57B087C9">
      <w:pPr>
        <w:spacing w:after="0" w:line="360" w:lineRule="auto"/>
        <w:jc w:val="center"/>
        <w:outlineLvl w:val="1"/>
        <w:rPr>
          <w:rFonts w:ascii="宋体" w:hAnsi="宋体" w:eastAsia="宋体" w:cs="@仿宋_GB2312"/>
          <w:b/>
          <w:color w:val="auto"/>
          <w:kern w:val="2"/>
          <w:sz w:val="24"/>
          <w:szCs w:val="20"/>
          <w:lang w:eastAsia="zh-CN"/>
        </w:rPr>
      </w:pPr>
      <w:bookmarkStart w:id="36" w:name="_Toc2449"/>
      <w:r>
        <w:rPr>
          <w:rFonts w:hint="eastAsia" w:ascii="宋体" w:hAnsi="宋体" w:eastAsia="宋体" w:cs="@仿宋_GB2312"/>
          <w:b/>
          <w:color w:val="auto"/>
          <w:kern w:val="2"/>
          <w:sz w:val="24"/>
          <w:szCs w:val="20"/>
          <w:lang w:eastAsia="zh-CN"/>
        </w:rPr>
        <w:t>第一部分 合同书</w:t>
      </w:r>
      <w:bookmarkEnd w:id="36"/>
    </w:p>
    <w:p w14:paraId="11BF162A">
      <w:pPr>
        <w:spacing w:after="0" w:line="480" w:lineRule="auto"/>
        <w:jc w:val="center"/>
        <w:rPr>
          <w:rFonts w:ascii="宋体" w:hAnsi="宋体" w:eastAsia="宋体" w:cs="Times New Roman"/>
          <w:b/>
          <w:color w:val="auto"/>
          <w:kern w:val="2"/>
          <w:sz w:val="24"/>
          <w:szCs w:val="24"/>
          <w:lang w:eastAsia="zh-CN"/>
        </w:rPr>
      </w:pPr>
    </w:p>
    <w:p w14:paraId="15D978AB">
      <w:pPr>
        <w:spacing w:after="0" w:line="480" w:lineRule="auto"/>
        <w:jc w:val="center"/>
        <w:rPr>
          <w:rFonts w:ascii="宋体" w:hAnsi="宋体" w:eastAsia="宋体" w:cs="Times New Roman"/>
          <w:b/>
          <w:color w:val="auto"/>
          <w:kern w:val="2"/>
          <w:sz w:val="24"/>
          <w:szCs w:val="24"/>
          <w:lang w:eastAsia="zh-CN"/>
        </w:rPr>
      </w:pPr>
    </w:p>
    <w:p w14:paraId="2CD17BA0">
      <w:pPr>
        <w:widowControl w:val="0"/>
        <w:spacing w:after="120"/>
        <w:jc w:val="both"/>
        <w:rPr>
          <w:rFonts w:ascii="@微软简标宋" w:hAnsi="@微软简标宋" w:eastAsia="@微软简标宋" w:cs="@微软简标宋"/>
          <w:color w:val="auto"/>
          <w:kern w:val="2"/>
          <w:sz w:val="21"/>
          <w:szCs w:val="24"/>
          <w:lang w:val="zh-CN" w:eastAsia="zh-CN" w:bidi="ar-SA"/>
        </w:rPr>
      </w:pPr>
    </w:p>
    <w:p w14:paraId="6C30857D">
      <w:pPr>
        <w:widowControl w:val="0"/>
        <w:spacing w:after="120"/>
        <w:jc w:val="both"/>
        <w:rPr>
          <w:rFonts w:ascii="@微软简标宋" w:hAnsi="@微软简标宋" w:eastAsia="@微软简标宋" w:cs="@微软简标宋"/>
          <w:color w:val="auto"/>
          <w:kern w:val="2"/>
          <w:sz w:val="21"/>
          <w:szCs w:val="24"/>
          <w:highlight w:val="none"/>
          <w:lang w:val="zh-CN" w:eastAsia="zh-CN" w:bidi="ar-SA"/>
        </w:rPr>
      </w:pPr>
    </w:p>
    <w:p w14:paraId="145ABB5E">
      <w:pPr>
        <w:spacing w:before="120" w:after="0" w:line="480" w:lineRule="auto"/>
        <w:ind w:left="960"/>
        <w:jc w:val="both"/>
        <w:rPr>
          <w:rFonts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lang w:eastAsia="zh-CN"/>
        </w:rPr>
        <w:t>项目名称：</w:t>
      </w:r>
      <w:r>
        <w:rPr>
          <w:rFonts w:hint="eastAsia" w:ascii="宋体" w:hAnsi="宋体" w:eastAsia="宋体" w:cs="Times New Roman"/>
          <w:color w:val="auto"/>
          <w:kern w:val="2"/>
          <w:sz w:val="24"/>
          <w:szCs w:val="24"/>
          <w:highlight w:val="none"/>
          <w:u w:val="single"/>
          <w:lang w:eastAsia="zh-CN"/>
        </w:rPr>
        <w:t>某项目</w:t>
      </w:r>
      <w:r>
        <w:rPr>
          <w:rFonts w:hint="eastAsia" w:ascii="宋体" w:hAnsi="宋体" w:eastAsia="宋体" w:cs="Times New Roman"/>
          <w:i/>
          <w:iCs/>
          <w:color w:val="auto"/>
          <w:kern w:val="2"/>
          <w:sz w:val="24"/>
          <w:szCs w:val="24"/>
          <w:highlight w:val="none"/>
          <w:lang w:eastAsia="zh-CN"/>
        </w:rPr>
        <w:t>（分包项目须填写完整的分包号及分包名称）</w:t>
      </w:r>
    </w:p>
    <w:p w14:paraId="7B90EED3">
      <w:pPr>
        <w:spacing w:before="120" w:after="0" w:line="480" w:lineRule="auto"/>
        <w:ind w:left="960"/>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highlight w:val="none"/>
          <w:lang w:eastAsia="zh-CN"/>
        </w:rPr>
        <w:t>项目编号：</w:t>
      </w:r>
      <w:r>
        <w:rPr>
          <w:rFonts w:hint="eastAsia" w:ascii="宋体" w:hAnsi="宋体" w:eastAsia="宋体" w:cs="Times New Roman"/>
          <w:color w:val="auto"/>
          <w:kern w:val="2"/>
          <w:sz w:val="24"/>
          <w:szCs w:val="24"/>
          <w:highlight w:val="none"/>
          <w:u w:val="single"/>
          <w:lang w:eastAsia="zh-CN"/>
        </w:rPr>
        <w:t>某编号</w:t>
      </w:r>
    </w:p>
    <w:p w14:paraId="37A10B61">
      <w:pPr>
        <w:spacing w:before="120" w:after="0" w:line="480" w:lineRule="auto"/>
        <w:ind w:left="960"/>
        <w:jc w:val="both"/>
        <w:rPr>
          <w:rFonts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lang w:eastAsia="zh-CN"/>
        </w:rPr>
        <w:t>甲方（采购人）：</w:t>
      </w:r>
      <w:r>
        <w:rPr>
          <w:rFonts w:hint="eastAsia" w:ascii="宋体" w:hAnsi="宋体" w:eastAsia="宋体" w:cs="Times New Roman"/>
          <w:color w:val="auto"/>
          <w:kern w:val="2"/>
          <w:sz w:val="24"/>
          <w:szCs w:val="24"/>
          <w:highlight w:val="none"/>
          <w:u w:val="single"/>
          <w:lang w:eastAsia="zh-CN"/>
        </w:rPr>
        <w:t xml:space="preserve">                              </w:t>
      </w:r>
    </w:p>
    <w:p w14:paraId="42E62837">
      <w:pPr>
        <w:spacing w:before="120" w:after="0" w:line="480" w:lineRule="auto"/>
        <w:ind w:left="960"/>
        <w:jc w:val="both"/>
        <w:rPr>
          <w:rFonts w:ascii="宋体" w:hAnsi="宋体" w:eastAsia="宋体" w:cs="Times New Roman"/>
          <w:color w:val="auto"/>
          <w:kern w:val="2"/>
          <w:sz w:val="24"/>
          <w:szCs w:val="24"/>
          <w:highlight w:val="none"/>
          <w:u w:val="single"/>
          <w:lang w:eastAsia="zh-CN"/>
        </w:rPr>
      </w:pPr>
      <w:r>
        <w:rPr>
          <w:rFonts w:hint="eastAsia" w:ascii="宋体" w:hAnsi="宋体" w:eastAsia="宋体" w:cs="Times New Roman"/>
          <w:color w:val="auto"/>
          <w:kern w:val="2"/>
          <w:sz w:val="24"/>
          <w:szCs w:val="24"/>
          <w:highlight w:val="none"/>
          <w:lang w:eastAsia="zh-CN"/>
        </w:rPr>
        <w:t>乙方（中标人）：</w:t>
      </w:r>
      <w:r>
        <w:rPr>
          <w:rFonts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u w:val="single"/>
          <w:lang w:eastAsia="zh-CN"/>
        </w:rPr>
        <w:t xml:space="preserve"> </w:t>
      </w:r>
      <w:r>
        <w:rPr>
          <w:rFonts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highlight w:val="none"/>
          <w:u w:val="single"/>
          <w:lang w:eastAsia="zh-CN"/>
        </w:rPr>
        <w:t xml:space="preserve">                  </w:t>
      </w:r>
    </w:p>
    <w:p w14:paraId="3996BE1A">
      <w:pPr>
        <w:spacing w:before="120" w:after="0" w:line="480" w:lineRule="auto"/>
        <w:ind w:firstLine="960" w:firstLineChars="400"/>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highlight w:val="none"/>
          <w:lang w:eastAsia="zh-CN"/>
        </w:rPr>
        <w:t>签订地：</w:t>
      </w:r>
      <w:r>
        <w:rPr>
          <w:rFonts w:hint="eastAsia" w:ascii="宋体" w:hAnsi="宋体" w:eastAsia="宋体" w:cs="Times New Roman"/>
          <w:color w:val="auto"/>
          <w:kern w:val="2"/>
          <w:sz w:val="24"/>
          <w:szCs w:val="24"/>
          <w:highlight w:val="none"/>
          <w:u w:val="single"/>
          <w:lang w:eastAsia="zh-CN"/>
        </w:rPr>
        <w:t xml:space="preserve">      </w:t>
      </w:r>
      <w:r>
        <w:rPr>
          <w:rFonts w:hint="eastAsia" w:ascii="宋体" w:hAnsi="宋体" w:eastAsia="宋体" w:cs="Times New Roman"/>
          <w:color w:val="auto"/>
          <w:kern w:val="2"/>
          <w:sz w:val="24"/>
          <w:szCs w:val="24"/>
          <w:u w:val="single"/>
          <w:lang w:eastAsia="zh-CN"/>
        </w:rPr>
        <w:t xml:space="preserve">                               </w:t>
      </w:r>
    </w:p>
    <w:p w14:paraId="1A6B7F0F">
      <w:pPr>
        <w:spacing w:before="120" w:after="0" w:line="480" w:lineRule="auto"/>
        <w:ind w:firstLine="960" w:firstLineChars="400"/>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签订日期：</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年</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月</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日</w:t>
      </w:r>
    </w:p>
    <w:p w14:paraId="4C2029DA">
      <w:pPr>
        <w:widowControl/>
        <w:spacing w:after="0" w:line="240" w:lineRule="auto"/>
        <w:jc w:val="left"/>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br w:type="page"/>
      </w:r>
    </w:p>
    <w:p w14:paraId="2AEF2E44">
      <w:pPr>
        <w:spacing w:after="0" w:line="360" w:lineRule="auto"/>
        <w:ind w:firstLine="435"/>
        <w:jc w:val="both"/>
        <w:rPr>
          <w:rFonts w:ascii="宋体" w:hAnsi="宋体" w:eastAsia="宋体" w:cs="@仿宋_GB2312"/>
          <w:color w:val="auto"/>
          <w:kern w:val="2"/>
          <w:sz w:val="24"/>
          <w:szCs w:val="20"/>
          <w:lang w:eastAsia="zh-CN"/>
        </w:rPr>
      </w:pPr>
      <w:r>
        <w:rPr>
          <w:rFonts w:hint="eastAsia" w:ascii="宋体" w:hAnsi="宋体" w:eastAsia="宋体" w:cs="@仿宋_GB2312"/>
          <w:color w:val="auto"/>
          <w:kern w:val="2"/>
          <w:sz w:val="24"/>
          <w:szCs w:val="20"/>
          <w:highlight w:val="none"/>
          <w:u w:val="single"/>
          <w:lang w:val="en-US" w:eastAsia="zh-CN"/>
        </w:rPr>
        <w:t xml:space="preserve">          </w:t>
      </w:r>
      <w:r>
        <w:rPr>
          <w:rFonts w:hint="eastAsia" w:ascii="宋体" w:hAnsi="宋体" w:eastAsia="宋体" w:cs="@仿宋_GB2312"/>
          <w:color w:val="auto"/>
          <w:kern w:val="2"/>
          <w:sz w:val="24"/>
          <w:szCs w:val="20"/>
          <w:lang w:eastAsia="zh-CN"/>
        </w:rPr>
        <w:t>（</w:t>
      </w:r>
      <w:r>
        <w:rPr>
          <w:rFonts w:hint="eastAsia" w:ascii="宋体" w:hAnsi="宋体" w:eastAsia="宋体" w:cs="Times New Roman"/>
          <w:color w:val="auto"/>
          <w:kern w:val="2"/>
          <w:sz w:val="24"/>
          <w:szCs w:val="24"/>
          <w:lang w:val="zh-CN" w:eastAsia="zh-CN"/>
        </w:rPr>
        <w:t>以下简称：甲方</w:t>
      </w:r>
      <w:r>
        <w:rPr>
          <w:rFonts w:hint="eastAsia" w:ascii="宋体" w:hAnsi="宋体" w:eastAsia="宋体" w:cs="@仿宋_GB2312"/>
          <w:color w:val="auto"/>
          <w:kern w:val="2"/>
          <w:sz w:val="24"/>
          <w:szCs w:val="20"/>
          <w:lang w:eastAsia="zh-CN"/>
        </w:rPr>
        <w:t>）通过</w:t>
      </w:r>
      <w:r>
        <w:rPr>
          <w:rFonts w:hint="eastAsia" w:ascii="宋体" w:hAnsi="宋体" w:eastAsia="宋体" w:cs="@仿宋_GB2312"/>
          <w:color w:val="auto"/>
          <w:kern w:val="2"/>
          <w:sz w:val="24"/>
          <w:szCs w:val="20"/>
          <w:u w:val="single"/>
          <w:lang w:val="en-US" w:eastAsia="zh-CN"/>
        </w:rPr>
        <w:t xml:space="preserve">          </w:t>
      </w:r>
      <w:r>
        <w:rPr>
          <w:rFonts w:hint="eastAsia" w:ascii="宋体" w:hAnsi="宋体" w:eastAsia="宋体" w:cs="@仿宋_GB2312"/>
          <w:color w:val="auto"/>
          <w:kern w:val="2"/>
          <w:sz w:val="24"/>
          <w:szCs w:val="20"/>
          <w:lang w:eastAsia="zh-CN"/>
        </w:rPr>
        <w:t>组织的</w:t>
      </w:r>
      <w:r>
        <w:rPr>
          <w:rFonts w:hint="eastAsia" w:ascii="宋体" w:hAnsi="宋体" w:eastAsia="宋体" w:cs="@仿宋_GB2312"/>
          <w:color w:val="auto"/>
          <w:kern w:val="2"/>
          <w:sz w:val="24"/>
          <w:szCs w:val="20"/>
          <w:u w:val="single"/>
          <w:lang w:eastAsia="zh-CN"/>
        </w:rPr>
        <w:t>公开招标</w:t>
      </w:r>
      <w:r>
        <w:rPr>
          <w:rFonts w:hint="eastAsia" w:ascii="宋体" w:hAnsi="宋体" w:eastAsia="宋体" w:cs="@仿宋_GB2312"/>
          <w:color w:val="auto"/>
          <w:kern w:val="2"/>
          <w:sz w:val="24"/>
          <w:szCs w:val="20"/>
          <w:lang w:eastAsia="zh-CN"/>
        </w:rPr>
        <w:t>方式采购活动，经</w:t>
      </w:r>
      <w:r>
        <w:rPr>
          <w:rFonts w:hint="eastAsia" w:ascii="宋体" w:hAnsi="宋体" w:eastAsia="宋体" w:cs="@仿宋_GB2312"/>
          <w:color w:val="auto"/>
          <w:kern w:val="2"/>
          <w:sz w:val="24"/>
          <w:szCs w:val="20"/>
          <w:u w:val="single"/>
          <w:lang w:eastAsia="zh-CN"/>
        </w:rPr>
        <w:t>评标委员会</w:t>
      </w:r>
      <w:r>
        <w:rPr>
          <w:rFonts w:hint="eastAsia" w:ascii="宋体" w:hAnsi="宋体" w:eastAsia="宋体" w:cs="@仿宋_GB2312"/>
          <w:color w:val="auto"/>
          <w:kern w:val="2"/>
          <w:sz w:val="24"/>
          <w:szCs w:val="20"/>
          <w:lang w:eastAsia="zh-CN"/>
        </w:rPr>
        <w:t>评定，</w:t>
      </w:r>
      <w:r>
        <w:rPr>
          <w:rFonts w:hint="eastAsia" w:ascii="宋体" w:hAnsi="宋体" w:eastAsia="宋体" w:cs="@仿宋_GB2312"/>
          <w:color w:val="auto"/>
          <w:kern w:val="2"/>
          <w:sz w:val="24"/>
          <w:szCs w:val="20"/>
          <w:u w:val="single"/>
          <w:lang w:val="en-US" w:eastAsia="zh-CN"/>
        </w:rPr>
        <w:t xml:space="preserve">          </w:t>
      </w:r>
      <w:r>
        <w:rPr>
          <w:rFonts w:hint="eastAsia" w:ascii="宋体" w:hAnsi="宋体" w:eastAsia="宋体" w:cs="@仿宋_GB2312"/>
          <w:color w:val="auto"/>
          <w:kern w:val="2"/>
          <w:sz w:val="24"/>
          <w:szCs w:val="20"/>
          <w:lang w:eastAsia="zh-CN"/>
        </w:rPr>
        <w:t>（</w:t>
      </w:r>
      <w:r>
        <w:rPr>
          <w:rFonts w:hint="eastAsia" w:ascii="宋体" w:hAnsi="宋体" w:eastAsia="宋体" w:cs="Times New Roman"/>
          <w:color w:val="auto"/>
          <w:kern w:val="2"/>
          <w:sz w:val="24"/>
          <w:szCs w:val="24"/>
          <w:lang w:val="zh-CN" w:eastAsia="zh-CN"/>
        </w:rPr>
        <w:t>以下简称：乙方</w:t>
      </w:r>
      <w:r>
        <w:rPr>
          <w:rFonts w:hint="eastAsia" w:ascii="宋体" w:hAnsi="宋体" w:eastAsia="宋体" w:cs="@仿宋_GB2312"/>
          <w:color w:val="auto"/>
          <w:kern w:val="2"/>
          <w:sz w:val="24"/>
          <w:szCs w:val="20"/>
          <w:lang w:eastAsia="zh-CN"/>
        </w:rPr>
        <w:t>）为本项目中标人，现</w:t>
      </w:r>
      <w:r>
        <w:rPr>
          <w:rFonts w:hint="eastAsia" w:ascii="宋体" w:hAnsi="宋体" w:eastAsia="宋体" w:cs="Times New Roman"/>
          <w:color w:val="auto"/>
          <w:kern w:val="2"/>
          <w:sz w:val="24"/>
          <w:szCs w:val="24"/>
          <w:lang w:eastAsia="zh-CN"/>
        </w:rPr>
        <w:t>按照采购文件确定的事项签订本合同。</w:t>
      </w:r>
    </w:p>
    <w:p w14:paraId="3FA48271">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仿宋_GB2312"/>
          <w:color w:val="auto"/>
          <w:kern w:val="2"/>
          <w:sz w:val="24"/>
          <w:szCs w:val="20"/>
          <w:lang w:eastAsia="zh-CN"/>
        </w:rPr>
        <w:t>根据《中华人民共和国民法典》《中华人民共和国政府采购法》等相关法律法规之规定，按照平等、自愿、公平和诚实信用的原则，经甲方和乙方协商一致，约定以下合同条款，以兹共同遵守、全面履行。</w:t>
      </w:r>
    </w:p>
    <w:p w14:paraId="0405B8E0">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37" w:name="_Toc24059"/>
      <w:bookmarkStart w:id="38" w:name="_Toc3029"/>
      <w:bookmarkStart w:id="39" w:name="_Toc2232"/>
      <w:r>
        <w:rPr>
          <w:rFonts w:hint="eastAsia" w:ascii="宋体" w:hAnsi="宋体" w:eastAsia="宋体" w:cs="Times New Roman"/>
          <w:b/>
          <w:bCs/>
          <w:color w:val="auto"/>
          <w:kern w:val="2"/>
          <w:sz w:val="24"/>
          <w:szCs w:val="24"/>
          <w:lang w:val="zh-CN" w:eastAsia="zh-CN"/>
        </w:rPr>
        <w:t>1.1</w:t>
      </w:r>
      <w:r>
        <w:rPr>
          <w:rFonts w:ascii="宋体" w:hAnsi="宋体" w:eastAsia="宋体" w:cs="Times New Roman"/>
          <w:b/>
          <w:bCs/>
          <w:color w:val="auto"/>
          <w:kern w:val="2"/>
          <w:sz w:val="24"/>
          <w:szCs w:val="24"/>
          <w:lang w:val="zh-CN" w:eastAsia="zh-CN"/>
        </w:rPr>
        <w:t xml:space="preserve"> </w:t>
      </w:r>
      <w:r>
        <w:rPr>
          <w:rFonts w:hint="eastAsia" w:ascii="宋体" w:hAnsi="宋体" w:eastAsia="宋体" w:cs="Times New Roman"/>
          <w:b/>
          <w:bCs/>
          <w:color w:val="auto"/>
          <w:kern w:val="2"/>
          <w:sz w:val="24"/>
          <w:szCs w:val="24"/>
          <w:lang w:val="zh-CN" w:eastAsia="zh-CN"/>
        </w:rPr>
        <w:t>合同组成部分</w:t>
      </w:r>
      <w:bookmarkEnd w:id="37"/>
      <w:bookmarkEnd w:id="38"/>
      <w:bookmarkEnd w:id="39"/>
    </w:p>
    <w:p w14:paraId="4FC91C6C">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8A3D4E2">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1.1.1本合同及其补充合同、变更协议；</w:t>
      </w:r>
    </w:p>
    <w:p w14:paraId="447A0C5B">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1.1.2中标通知书；</w:t>
      </w:r>
    </w:p>
    <w:p w14:paraId="7084CE50">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1.1.3投标文件（含澄清或者说明文件）；</w:t>
      </w:r>
    </w:p>
    <w:p w14:paraId="03169E80">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1.1.4招标文件（含澄清或者修改文件）；</w:t>
      </w:r>
    </w:p>
    <w:p w14:paraId="4007AE8E">
      <w:pPr>
        <w:spacing w:after="0" w:line="360" w:lineRule="auto"/>
        <w:ind w:firstLine="435"/>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1.1.5其他相关采购文件。</w:t>
      </w:r>
    </w:p>
    <w:p w14:paraId="0DA1B13F">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40" w:name="_Toc22185"/>
      <w:bookmarkStart w:id="41" w:name="_Toc2918"/>
      <w:bookmarkStart w:id="42" w:name="_Toc6773"/>
      <w:bookmarkStart w:id="43" w:name="_Toc18585"/>
      <w:bookmarkStart w:id="44" w:name="_Toc6311"/>
      <w:r>
        <w:rPr>
          <w:rFonts w:hint="eastAsia" w:ascii="宋体" w:hAnsi="宋体" w:eastAsia="宋体" w:cs="Times New Roman"/>
          <w:b/>
          <w:bCs/>
          <w:color w:val="auto"/>
          <w:kern w:val="2"/>
          <w:sz w:val="24"/>
          <w:szCs w:val="24"/>
          <w:lang w:val="zh-CN" w:eastAsia="zh-CN"/>
        </w:rPr>
        <w:t xml:space="preserve">1.2 </w:t>
      </w:r>
      <w:bookmarkEnd w:id="40"/>
      <w:bookmarkEnd w:id="41"/>
      <w:bookmarkEnd w:id="42"/>
      <w:bookmarkEnd w:id="43"/>
      <w:bookmarkEnd w:id="44"/>
      <w:r>
        <w:rPr>
          <w:rFonts w:hint="eastAsia" w:ascii="宋体" w:hAnsi="宋体" w:eastAsia="宋体" w:cs="Times New Roman"/>
          <w:b/>
          <w:bCs/>
          <w:color w:val="auto"/>
          <w:kern w:val="2"/>
          <w:sz w:val="24"/>
          <w:szCs w:val="24"/>
          <w:lang w:val="zh-CN" w:eastAsia="zh-CN"/>
        </w:rPr>
        <w:t>服务</w:t>
      </w:r>
    </w:p>
    <w:p w14:paraId="7094D26C">
      <w:pPr>
        <w:spacing w:after="0" w:line="360" w:lineRule="auto"/>
        <w:ind w:firstLine="435"/>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lang w:eastAsia="zh-CN"/>
        </w:rPr>
        <w:t>1.2.1服务</w:t>
      </w:r>
      <w:r>
        <w:rPr>
          <w:rFonts w:ascii="宋体" w:hAnsi="宋体" w:eastAsia="宋体" w:cs="Times New Roman"/>
          <w:color w:val="auto"/>
          <w:kern w:val="2"/>
          <w:sz w:val="24"/>
          <w:szCs w:val="24"/>
          <w:lang w:eastAsia="zh-CN"/>
        </w:rPr>
        <w:t>名称：</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0DC4F153">
      <w:pPr>
        <w:spacing w:after="0" w:line="360" w:lineRule="auto"/>
        <w:ind w:firstLine="435"/>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lang w:eastAsia="zh-CN"/>
        </w:rPr>
        <w:t>1.2.2服务内容</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0880DC21">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1.2.3服务质量：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6A55EDDB">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45" w:name="_Toc21551"/>
      <w:bookmarkStart w:id="46" w:name="_Toc21631"/>
      <w:bookmarkStart w:id="47" w:name="_Toc23292"/>
      <w:r>
        <w:rPr>
          <w:rFonts w:hint="eastAsia" w:ascii="宋体" w:hAnsi="宋体" w:eastAsia="宋体" w:cs="Times New Roman"/>
          <w:b/>
          <w:bCs/>
          <w:color w:val="auto"/>
          <w:kern w:val="2"/>
          <w:sz w:val="24"/>
          <w:szCs w:val="24"/>
          <w:lang w:val="zh-CN" w:eastAsia="zh-CN"/>
        </w:rPr>
        <w:t>1.</w:t>
      </w:r>
      <w:r>
        <w:rPr>
          <w:rFonts w:ascii="宋体" w:hAnsi="宋体" w:eastAsia="宋体" w:cs="Times New Roman"/>
          <w:b/>
          <w:bCs/>
          <w:color w:val="auto"/>
          <w:kern w:val="2"/>
          <w:sz w:val="24"/>
          <w:szCs w:val="24"/>
          <w:lang w:val="zh-CN" w:eastAsia="zh-CN"/>
        </w:rPr>
        <w:t xml:space="preserve">3 </w:t>
      </w:r>
      <w:r>
        <w:rPr>
          <w:rFonts w:hint="eastAsia" w:ascii="宋体" w:hAnsi="宋体" w:eastAsia="宋体" w:cs="Times New Roman"/>
          <w:b/>
          <w:bCs/>
          <w:color w:val="auto"/>
          <w:kern w:val="2"/>
          <w:sz w:val="24"/>
          <w:szCs w:val="24"/>
          <w:lang w:val="zh-CN" w:eastAsia="zh-CN"/>
        </w:rPr>
        <w:t>价款</w:t>
      </w:r>
      <w:bookmarkEnd w:id="45"/>
      <w:bookmarkEnd w:id="46"/>
      <w:bookmarkEnd w:id="47"/>
    </w:p>
    <w:p w14:paraId="21260190">
      <w:pPr>
        <w:spacing w:after="0" w:line="360" w:lineRule="auto"/>
        <w:ind w:firstLine="435"/>
        <w:jc w:val="left"/>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本合同总价为</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元</w:t>
      </w:r>
      <w:r>
        <w:rPr>
          <w:rFonts w:hint="eastAsia" w:ascii="宋体" w:hAnsi="宋体" w:eastAsia="宋体" w:cs="Times New Roman"/>
          <w:color w:val="auto"/>
          <w:kern w:val="2"/>
          <w:sz w:val="24"/>
          <w:szCs w:val="24"/>
          <w:lang w:eastAsia="zh-CN"/>
        </w:rPr>
        <w:t>（大写：人民币</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元）</w:t>
      </w:r>
      <w:r>
        <w:rPr>
          <w:rFonts w:ascii="宋体" w:hAnsi="宋体" w:eastAsia="宋体" w:cs="Times New Roman"/>
          <w:color w:val="auto"/>
          <w:kern w:val="2"/>
          <w:sz w:val="24"/>
          <w:szCs w:val="24"/>
          <w:lang w:eastAsia="zh-CN"/>
        </w:rPr>
        <w:t>。</w:t>
      </w:r>
    </w:p>
    <w:p w14:paraId="3C310C88">
      <w:pPr>
        <w:spacing w:after="0" w:line="360" w:lineRule="auto"/>
        <w:ind w:firstLine="435"/>
        <w:jc w:val="both"/>
        <w:rPr>
          <w:rFonts w:ascii="宋体" w:hAnsi="宋体" w:eastAsia="宋体" w:cs="Times New Roman"/>
          <w:color w:val="auto"/>
          <w:kern w:val="2"/>
          <w:sz w:val="24"/>
          <w:szCs w:val="24"/>
          <w:u w:val="single"/>
          <w:lang w:eastAsia="zh-CN"/>
        </w:rPr>
      </w:pPr>
      <w:r>
        <w:rPr>
          <w:rFonts w:ascii="宋体" w:hAnsi="宋体" w:eastAsia="宋体" w:cs="Times New Roman"/>
          <w:color w:val="auto"/>
          <w:kern w:val="2"/>
          <w:sz w:val="24"/>
          <w:szCs w:val="24"/>
          <w:lang w:eastAsia="zh-CN"/>
        </w:rPr>
        <w:t>分项价格：</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D08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69D7D934">
            <w:pPr>
              <w:spacing w:after="0" w:line="240" w:lineRule="auto"/>
              <w:jc w:val="center"/>
              <w:rPr>
                <w:rFonts w:ascii="宋体" w:hAnsi="宋体" w:eastAsia="宋体" w:cs="Times New Roman"/>
                <w:color w:val="auto"/>
                <w:kern w:val="2"/>
                <w:sz w:val="24"/>
                <w:szCs w:val="24"/>
                <w:lang w:val="zh-CN" w:eastAsia="zh-CN"/>
              </w:rPr>
            </w:pPr>
            <w:r>
              <w:rPr>
                <w:rFonts w:ascii="宋体" w:hAnsi="宋体" w:eastAsia="宋体" w:cs="Times New Roman"/>
                <w:color w:val="auto"/>
                <w:kern w:val="2"/>
                <w:sz w:val="24"/>
                <w:szCs w:val="24"/>
                <w:lang w:val="zh-CN" w:eastAsia="zh-CN"/>
              </w:rPr>
              <w:t>序号</w:t>
            </w:r>
          </w:p>
        </w:tc>
        <w:tc>
          <w:tcPr>
            <w:tcW w:w="4316" w:type="dxa"/>
            <w:vAlign w:val="center"/>
          </w:tcPr>
          <w:p w14:paraId="40571290">
            <w:pPr>
              <w:spacing w:after="0" w:line="240" w:lineRule="auto"/>
              <w:ind w:firstLine="200"/>
              <w:jc w:val="center"/>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分项名称</w:t>
            </w:r>
          </w:p>
        </w:tc>
        <w:tc>
          <w:tcPr>
            <w:tcW w:w="3237" w:type="dxa"/>
            <w:gridSpan w:val="2"/>
            <w:vAlign w:val="center"/>
          </w:tcPr>
          <w:p w14:paraId="5B04186B">
            <w:pPr>
              <w:spacing w:after="0" w:line="240" w:lineRule="auto"/>
              <w:jc w:val="center"/>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分项价格</w:t>
            </w:r>
          </w:p>
        </w:tc>
      </w:tr>
      <w:tr w14:paraId="54A5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A90E46">
            <w:pPr>
              <w:spacing w:after="0" w:line="240" w:lineRule="auto"/>
              <w:jc w:val="center"/>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1</w:t>
            </w:r>
          </w:p>
        </w:tc>
        <w:tc>
          <w:tcPr>
            <w:tcW w:w="4316" w:type="dxa"/>
            <w:vAlign w:val="center"/>
          </w:tcPr>
          <w:p w14:paraId="183D99E9">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66DCE222">
            <w:pPr>
              <w:spacing w:after="0" w:line="240" w:lineRule="auto"/>
              <w:ind w:firstLine="200"/>
              <w:jc w:val="center"/>
              <w:rPr>
                <w:rFonts w:ascii="宋体" w:hAnsi="宋体" w:eastAsia="宋体" w:cs="Times New Roman"/>
                <w:color w:val="auto"/>
                <w:kern w:val="2"/>
                <w:sz w:val="24"/>
                <w:szCs w:val="24"/>
                <w:lang w:eastAsia="zh-CN"/>
              </w:rPr>
            </w:pPr>
          </w:p>
        </w:tc>
      </w:tr>
      <w:tr w14:paraId="7E6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01F05C">
            <w:pPr>
              <w:spacing w:after="0" w:line="240" w:lineRule="auto"/>
              <w:jc w:val="center"/>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2</w:t>
            </w:r>
          </w:p>
        </w:tc>
        <w:tc>
          <w:tcPr>
            <w:tcW w:w="4316" w:type="dxa"/>
            <w:vAlign w:val="center"/>
          </w:tcPr>
          <w:p w14:paraId="5B2DF565">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1EFD6330">
            <w:pPr>
              <w:spacing w:after="0" w:line="240" w:lineRule="auto"/>
              <w:ind w:firstLine="200"/>
              <w:jc w:val="center"/>
              <w:rPr>
                <w:rFonts w:ascii="宋体" w:hAnsi="宋体" w:eastAsia="宋体" w:cs="Times New Roman"/>
                <w:color w:val="auto"/>
                <w:kern w:val="2"/>
                <w:sz w:val="24"/>
                <w:szCs w:val="24"/>
                <w:lang w:eastAsia="zh-CN"/>
              </w:rPr>
            </w:pPr>
          </w:p>
        </w:tc>
      </w:tr>
      <w:tr w14:paraId="58EC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CAE06BC">
            <w:pPr>
              <w:spacing w:after="0" w:line="240" w:lineRule="auto"/>
              <w:jc w:val="center"/>
              <w:rPr>
                <w:rFonts w:ascii="宋体" w:hAnsi="宋体" w:eastAsia="宋体" w:cs="Times New Roman"/>
                <w:color w:val="auto"/>
                <w:kern w:val="2"/>
                <w:sz w:val="24"/>
                <w:szCs w:val="24"/>
                <w:lang w:val="zh-CN" w:eastAsia="zh-CN"/>
              </w:rPr>
            </w:pPr>
            <w:r>
              <w:rPr>
                <w:rFonts w:ascii="宋体" w:hAnsi="宋体" w:eastAsia="宋体" w:cs="Times New Roman"/>
                <w:color w:val="auto"/>
                <w:kern w:val="2"/>
                <w:sz w:val="24"/>
                <w:szCs w:val="24"/>
                <w:lang w:val="zh-CN" w:eastAsia="zh-CN"/>
              </w:rPr>
              <w:t>3</w:t>
            </w:r>
          </w:p>
        </w:tc>
        <w:tc>
          <w:tcPr>
            <w:tcW w:w="4316" w:type="dxa"/>
            <w:vAlign w:val="center"/>
          </w:tcPr>
          <w:p w14:paraId="121600B9">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77CC1C65">
            <w:pPr>
              <w:spacing w:after="0" w:line="240" w:lineRule="auto"/>
              <w:ind w:firstLine="200"/>
              <w:jc w:val="center"/>
              <w:rPr>
                <w:rFonts w:ascii="宋体" w:hAnsi="宋体" w:eastAsia="宋体" w:cs="Times New Roman"/>
                <w:color w:val="auto"/>
                <w:kern w:val="2"/>
                <w:sz w:val="24"/>
                <w:szCs w:val="24"/>
                <w:lang w:eastAsia="zh-CN"/>
              </w:rPr>
            </w:pPr>
          </w:p>
        </w:tc>
      </w:tr>
      <w:tr w14:paraId="1711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D2789D4">
            <w:pPr>
              <w:spacing w:after="0" w:line="240" w:lineRule="auto"/>
              <w:jc w:val="center"/>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w:t>
            </w:r>
          </w:p>
        </w:tc>
        <w:tc>
          <w:tcPr>
            <w:tcW w:w="4316" w:type="dxa"/>
            <w:vAlign w:val="center"/>
          </w:tcPr>
          <w:p w14:paraId="79DDD152">
            <w:pPr>
              <w:spacing w:after="0" w:line="240" w:lineRule="auto"/>
              <w:ind w:firstLine="200"/>
              <w:jc w:val="center"/>
              <w:rPr>
                <w:rFonts w:ascii="宋体" w:hAnsi="宋体" w:eastAsia="宋体" w:cs="Times New Roman"/>
                <w:color w:val="auto"/>
                <w:kern w:val="2"/>
                <w:sz w:val="24"/>
                <w:szCs w:val="24"/>
                <w:lang w:eastAsia="zh-CN"/>
              </w:rPr>
            </w:pPr>
          </w:p>
        </w:tc>
        <w:tc>
          <w:tcPr>
            <w:tcW w:w="3237" w:type="dxa"/>
            <w:gridSpan w:val="2"/>
            <w:vAlign w:val="center"/>
          </w:tcPr>
          <w:p w14:paraId="1CCD866C">
            <w:pPr>
              <w:spacing w:after="0" w:line="240" w:lineRule="auto"/>
              <w:ind w:firstLine="200"/>
              <w:jc w:val="center"/>
              <w:rPr>
                <w:rFonts w:ascii="宋体" w:hAnsi="宋体" w:eastAsia="宋体" w:cs="Times New Roman"/>
                <w:color w:val="auto"/>
                <w:kern w:val="2"/>
                <w:sz w:val="24"/>
                <w:szCs w:val="24"/>
                <w:lang w:eastAsia="zh-CN"/>
              </w:rPr>
            </w:pPr>
          </w:p>
        </w:tc>
      </w:tr>
      <w:tr w14:paraId="03A7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54FCA11C">
            <w:pPr>
              <w:spacing w:after="0" w:line="240" w:lineRule="auto"/>
              <w:ind w:firstLine="200"/>
              <w:jc w:val="center"/>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总价</w:t>
            </w:r>
          </w:p>
        </w:tc>
        <w:tc>
          <w:tcPr>
            <w:tcW w:w="3237" w:type="dxa"/>
            <w:gridSpan w:val="2"/>
            <w:vAlign w:val="center"/>
          </w:tcPr>
          <w:p w14:paraId="685D4A05">
            <w:pPr>
              <w:spacing w:after="0" w:line="240" w:lineRule="auto"/>
              <w:ind w:firstLine="200"/>
              <w:jc w:val="center"/>
              <w:rPr>
                <w:rFonts w:ascii="宋体" w:hAnsi="宋体" w:eastAsia="宋体" w:cs="Times New Roman"/>
                <w:color w:val="auto"/>
                <w:kern w:val="2"/>
                <w:sz w:val="24"/>
                <w:szCs w:val="24"/>
                <w:lang w:eastAsia="zh-CN"/>
              </w:rPr>
            </w:pPr>
          </w:p>
        </w:tc>
      </w:tr>
    </w:tbl>
    <w:p w14:paraId="27888420">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48" w:name="_Toc1814"/>
      <w:bookmarkStart w:id="49" w:name="_Toc10340"/>
      <w:bookmarkStart w:id="50" w:name="_Toc22618"/>
      <w:r>
        <w:rPr>
          <w:rFonts w:hint="eastAsia" w:ascii="宋体" w:hAnsi="宋体" w:eastAsia="宋体" w:cs="Times New Roman"/>
          <w:b/>
          <w:bCs/>
          <w:color w:val="auto"/>
          <w:kern w:val="2"/>
          <w:sz w:val="24"/>
          <w:szCs w:val="24"/>
          <w:lang w:val="zh-CN" w:eastAsia="zh-CN"/>
        </w:rPr>
        <w:t>1.</w:t>
      </w:r>
      <w:r>
        <w:rPr>
          <w:rFonts w:ascii="宋体" w:hAnsi="宋体" w:eastAsia="宋体" w:cs="Times New Roman"/>
          <w:b/>
          <w:bCs/>
          <w:color w:val="auto"/>
          <w:kern w:val="2"/>
          <w:sz w:val="24"/>
          <w:szCs w:val="24"/>
          <w:lang w:val="zh-CN" w:eastAsia="zh-CN"/>
        </w:rPr>
        <w:t>4 付款方式和发票开具方式</w:t>
      </w:r>
      <w:bookmarkEnd w:id="48"/>
      <w:bookmarkEnd w:id="49"/>
      <w:bookmarkEnd w:id="50"/>
    </w:p>
    <w:p w14:paraId="793E0BA8">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1.4.1</w:t>
      </w:r>
      <w:r>
        <w:rPr>
          <w:rFonts w:ascii="宋体" w:hAnsi="宋体" w:eastAsia="宋体" w:cs="Times New Roman"/>
          <w:color w:val="auto"/>
          <w:kern w:val="2"/>
          <w:sz w:val="24"/>
          <w:szCs w:val="24"/>
          <w:lang w:eastAsia="zh-CN"/>
        </w:rPr>
        <w:t>付款方式：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487137C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1.4.2发票开具方式：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363B8C45">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51" w:name="_Toc19304"/>
      <w:bookmarkStart w:id="52" w:name="_Toc2846"/>
      <w:bookmarkStart w:id="53" w:name="_Toc32071"/>
      <w:r>
        <w:rPr>
          <w:rFonts w:hint="eastAsia" w:ascii="宋体" w:hAnsi="宋体" w:eastAsia="宋体" w:cs="Times New Roman"/>
          <w:b/>
          <w:bCs/>
          <w:color w:val="auto"/>
          <w:kern w:val="2"/>
          <w:sz w:val="24"/>
          <w:szCs w:val="24"/>
          <w:lang w:val="zh-CN" w:eastAsia="zh-CN"/>
        </w:rPr>
        <w:t>1.</w:t>
      </w:r>
      <w:r>
        <w:rPr>
          <w:rFonts w:ascii="宋体" w:hAnsi="宋体" w:eastAsia="宋体" w:cs="Times New Roman"/>
          <w:b/>
          <w:bCs/>
          <w:color w:val="auto"/>
          <w:kern w:val="2"/>
          <w:sz w:val="24"/>
          <w:szCs w:val="24"/>
          <w:lang w:val="zh-CN" w:eastAsia="zh-CN"/>
        </w:rPr>
        <w:t xml:space="preserve">5 </w:t>
      </w:r>
      <w:r>
        <w:rPr>
          <w:rFonts w:hint="eastAsia" w:ascii="宋体" w:hAnsi="宋体" w:eastAsia="宋体" w:cs="Times New Roman"/>
          <w:b/>
          <w:bCs/>
          <w:color w:val="auto"/>
          <w:kern w:val="2"/>
          <w:sz w:val="24"/>
          <w:szCs w:val="24"/>
          <w:lang w:val="zh-CN" w:eastAsia="zh-CN"/>
        </w:rPr>
        <w:t>服务</w:t>
      </w:r>
      <w:r>
        <w:rPr>
          <w:rFonts w:ascii="宋体" w:hAnsi="宋体" w:eastAsia="宋体" w:cs="Times New Roman"/>
          <w:b/>
          <w:bCs/>
          <w:color w:val="auto"/>
          <w:kern w:val="2"/>
          <w:sz w:val="24"/>
          <w:szCs w:val="24"/>
          <w:lang w:val="zh-CN" w:eastAsia="zh-CN"/>
        </w:rPr>
        <w:t>期限</w:t>
      </w:r>
      <w:r>
        <w:rPr>
          <w:rFonts w:hint="eastAsia" w:ascii="宋体" w:hAnsi="宋体" w:eastAsia="宋体" w:cs="Times New Roman"/>
          <w:b/>
          <w:bCs/>
          <w:color w:val="auto"/>
          <w:kern w:val="2"/>
          <w:sz w:val="24"/>
          <w:szCs w:val="24"/>
          <w:lang w:val="zh-CN" w:eastAsia="zh-CN"/>
        </w:rPr>
        <w:t>、地点和方式</w:t>
      </w:r>
      <w:bookmarkEnd w:id="51"/>
      <w:bookmarkEnd w:id="52"/>
      <w:bookmarkEnd w:id="53"/>
    </w:p>
    <w:p w14:paraId="60090276">
      <w:pPr>
        <w:spacing w:after="0" w:line="360" w:lineRule="auto"/>
        <w:ind w:firstLine="435"/>
        <w:jc w:val="both"/>
        <w:rPr>
          <w:rFonts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lang w:eastAsia="zh-CN"/>
        </w:rPr>
        <w:t>1.5.1服务期限</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435D54F7">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1.5.2服务地点</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0B7FD29E">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1.5.3服务方式：</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w:t>
      </w:r>
    </w:p>
    <w:p w14:paraId="6AD06F5D">
      <w:pPr>
        <w:spacing w:after="0" w:line="360" w:lineRule="auto"/>
        <w:ind w:firstLine="437"/>
        <w:jc w:val="both"/>
        <w:outlineLvl w:val="2"/>
        <w:rPr>
          <w:rFonts w:ascii="宋体" w:hAnsi="宋体" w:eastAsia="宋体" w:cs="Times New Roman"/>
          <w:b/>
          <w:bCs/>
          <w:color w:val="auto"/>
          <w:kern w:val="2"/>
          <w:sz w:val="24"/>
          <w:szCs w:val="24"/>
          <w:highlight w:val="none"/>
          <w:lang w:val="zh-CN" w:eastAsia="zh-CN"/>
        </w:rPr>
      </w:pPr>
      <w:bookmarkStart w:id="54" w:name="_Toc21423"/>
      <w:bookmarkStart w:id="55" w:name="_Toc19554"/>
      <w:bookmarkStart w:id="56" w:name="_Toc27250"/>
      <w:r>
        <w:rPr>
          <w:rFonts w:hint="eastAsia" w:ascii="宋体" w:hAnsi="宋体" w:eastAsia="宋体" w:cs="Times New Roman"/>
          <w:b/>
          <w:bCs/>
          <w:color w:val="auto"/>
          <w:kern w:val="2"/>
          <w:sz w:val="24"/>
          <w:szCs w:val="24"/>
          <w:highlight w:val="none"/>
          <w:lang w:val="zh-CN" w:eastAsia="zh-CN"/>
        </w:rPr>
        <w:t>1.6 违约责任</w:t>
      </w:r>
      <w:bookmarkEnd w:id="54"/>
      <w:bookmarkEnd w:id="55"/>
      <w:bookmarkEnd w:id="56"/>
    </w:p>
    <w:p w14:paraId="4916AAAD">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1.6.1</w:t>
      </w:r>
      <w:r>
        <w:rPr>
          <w:rFonts w:ascii="宋体" w:hAnsi="宋体" w:eastAsia="宋体" w:cs="Times New Roman"/>
          <w:color w:val="auto"/>
          <w:kern w:val="2"/>
          <w:sz w:val="24"/>
          <w:szCs w:val="24"/>
          <w:lang w:eastAsia="zh-CN"/>
        </w:rPr>
        <w:t>除不可抗力外，如果乙方没有按照本合同约定的期限</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地点和方式</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，那么甲方可要求乙方支付违约金</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违约金按每迟延</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一日的应提供而未</w:t>
      </w:r>
      <w:r>
        <w:rPr>
          <w:rFonts w:hint="eastAsia" w:ascii="宋体" w:hAnsi="宋体" w:eastAsia="宋体" w:cs="Times New Roman"/>
          <w:color w:val="auto"/>
          <w:kern w:val="2"/>
          <w:sz w:val="24"/>
          <w:szCs w:val="24"/>
          <w:lang w:eastAsia="zh-CN"/>
        </w:rPr>
        <w:t>提供</w:t>
      </w:r>
      <w:r>
        <w:rPr>
          <w:rFonts w:ascii="宋体" w:hAnsi="宋体" w:eastAsia="宋体" w:cs="Times New Roman"/>
          <w:color w:val="auto"/>
          <w:kern w:val="2"/>
          <w:sz w:val="24"/>
          <w:szCs w:val="24"/>
          <w:lang w:eastAsia="zh-CN"/>
        </w:rPr>
        <w:t>服务价格的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0.3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%计算</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最高限额为</w:t>
      </w:r>
      <w:r>
        <w:rPr>
          <w:rFonts w:hint="eastAsia" w:ascii="宋体" w:hAnsi="宋体" w:eastAsia="宋体" w:cs="Times New Roman"/>
          <w:color w:val="auto"/>
          <w:kern w:val="2"/>
          <w:sz w:val="24"/>
          <w:szCs w:val="24"/>
          <w:lang w:eastAsia="zh-CN"/>
        </w:rPr>
        <w:t>本</w:t>
      </w:r>
      <w:r>
        <w:rPr>
          <w:rFonts w:ascii="宋体" w:hAnsi="宋体" w:eastAsia="宋体" w:cs="Times New Roman"/>
          <w:color w:val="auto"/>
          <w:kern w:val="2"/>
          <w:sz w:val="24"/>
          <w:szCs w:val="24"/>
          <w:lang w:eastAsia="zh-CN"/>
        </w:rPr>
        <w:t>合同总价的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迟延</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的违约金计算数额达到前述最高限额之日起</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甲方有权在要求乙方支付违约金的同时</w:t>
      </w:r>
      <w:r>
        <w:rPr>
          <w:rFonts w:hint="eastAsia" w:ascii="宋体" w:hAnsi="宋体" w:eastAsia="宋体" w:cs="Times New Roman"/>
          <w:color w:val="auto"/>
          <w:kern w:val="2"/>
          <w:sz w:val="24"/>
          <w:szCs w:val="24"/>
          <w:lang w:eastAsia="zh-CN"/>
        </w:rPr>
        <w:t>，书面通知乙方</w:t>
      </w:r>
      <w:r>
        <w:rPr>
          <w:rFonts w:ascii="宋体" w:hAnsi="宋体" w:eastAsia="宋体" w:cs="Times New Roman"/>
          <w:color w:val="auto"/>
          <w:kern w:val="2"/>
          <w:sz w:val="24"/>
          <w:szCs w:val="24"/>
          <w:lang w:eastAsia="zh-CN"/>
        </w:rPr>
        <w:t>解除本合同</w:t>
      </w:r>
      <w:r>
        <w:rPr>
          <w:rFonts w:hint="eastAsia" w:ascii="宋体" w:hAnsi="宋体" w:eastAsia="宋体" w:cs="Times New Roman"/>
          <w:color w:val="auto"/>
          <w:kern w:val="2"/>
          <w:sz w:val="24"/>
          <w:szCs w:val="24"/>
          <w:lang w:eastAsia="zh-CN"/>
        </w:rPr>
        <w:t>；</w:t>
      </w:r>
    </w:p>
    <w:p w14:paraId="03CC8EE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1.6.2</w:t>
      </w:r>
      <w:r>
        <w:rPr>
          <w:rFonts w:ascii="宋体" w:hAnsi="宋体" w:eastAsia="宋体" w:cs="Times New Roman"/>
          <w:color w:val="auto"/>
          <w:kern w:val="2"/>
          <w:sz w:val="24"/>
          <w:szCs w:val="24"/>
          <w:lang w:eastAsia="zh-CN"/>
        </w:rPr>
        <w:t>除不可抗力外，如果甲方没有按照本合同约定的付款方式付款，那么乙方可要求甲方支付违约金</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违约金按每迟延</w:t>
      </w:r>
      <w:r>
        <w:rPr>
          <w:rFonts w:hint="eastAsia" w:ascii="宋体" w:hAnsi="宋体" w:eastAsia="宋体" w:cs="Times New Roman"/>
          <w:color w:val="auto"/>
          <w:kern w:val="2"/>
          <w:sz w:val="24"/>
          <w:szCs w:val="24"/>
          <w:lang w:eastAsia="zh-CN"/>
        </w:rPr>
        <w:t>付款</w:t>
      </w:r>
      <w:r>
        <w:rPr>
          <w:rFonts w:ascii="宋体" w:hAnsi="宋体" w:eastAsia="宋体" w:cs="Times New Roman"/>
          <w:color w:val="auto"/>
          <w:kern w:val="2"/>
          <w:sz w:val="24"/>
          <w:szCs w:val="24"/>
          <w:lang w:eastAsia="zh-CN"/>
        </w:rPr>
        <w:t>一日的应付而未付款的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0.3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%计算</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最高限额为</w:t>
      </w:r>
      <w:r>
        <w:rPr>
          <w:rFonts w:hint="eastAsia" w:ascii="宋体" w:hAnsi="宋体" w:eastAsia="宋体" w:cs="Times New Roman"/>
          <w:color w:val="auto"/>
          <w:kern w:val="2"/>
          <w:sz w:val="24"/>
          <w:szCs w:val="24"/>
          <w:lang w:eastAsia="zh-CN"/>
        </w:rPr>
        <w:t>本</w:t>
      </w:r>
      <w:r>
        <w:rPr>
          <w:rFonts w:ascii="宋体" w:hAnsi="宋体" w:eastAsia="宋体" w:cs="Times New Roman"/>
          <w:color w:val="auto"/>
          <w:kern w:val="2"/>
          <w:sz w:val="24"/>
          <w:szCs w:val="24"/>
          <w:lang w:eastAsia="zh-CN"/>
        </w:rPr>
        <w:t>合同总价的</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val="en-US" w:eastAsia="zh-CN"/>
        </w:rPr>
        <w:t>3</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迟延</w:t>
      </w:r>
      <w:r>
        <w:rPr>
          <w:rFonts w:hint="eastAsia" w:ascii="宋体" w:hAnsi="宋体" w:eastAsia="宋体" w:cs="Times New Roman"/>
          <w:color w:val="auto"/>
          <w:kern w:val="2"/>
          <w:sz w:val="24"/>
          <w:szCs w:val="24"/>
          <w:lang w:eastAsia="zh-CN"/>
        </w:rPr>
        <w:t>付款</w:t>
      </w:r>
      <w:r>
        <w:rPr>
          <w:rFonts w:ascii="宋体" w:hAnsi="宋体" w:eastAsia="宋体" w:cs="Times New Roman"/>
          <w:color w:val="auto"/>
          <w:kern w:val="2"/>
          <w:sz w:val="24"/>
          <w:szCs w:val="24"/>
          <w:lang w:eastAsia="zh-CN"/>
        </w:rPr>
        <w:t>的违约金计算数额达到前述最高限额之日起</w:t>
      </w:r>
      <w:r>
        <w:rPr>
          <w:rFonts w:hint="eastAsia" w:ascii="宋体" w:hAnsi="宋体" w:eastAsia="宋体" w:cs="Times New Roman"/>
          <w:color w:val="auto"/>
          <w:kern w:val="2"/>
          <w:sz w:val="24"/>
          <w:szCs w:val="24"/>
          <w:lang w:eastAsia="zh-CN"/>
        </w:rPr>
        <w:t>，乙</w:t>
      </w:r>
      <w:r>
        <w:rPr>
          <w:rFonts w:ascii="宋体" w:hAnsi="宋体" w:eastAsia="宋体" w:cs="Times New Roman"/>
          <w:color w:val="auto"/>
          <w:kern w:val="2"/>
          <w:sz w:val="24"/>
          <w:szCs w:val="24"/>
          <w:lang w:eastAsia="zh-CN"/>
        </w:rPr>
        <w:t>方有权在要求甲方支付违约金的同时</w:t>
      </w:r>
      <w:r>
        <w:rPr>
          <w:rFonts w:hint="eastAsia" w:ascii="宋体" w:hAnsi="宋体" w:eastAsia="宋体" w:cs="Times New Roman"/>
          <w:color w:val="auto"/>
          <w:kern w:val="2"/>
          <w:sz w:val="24"/>
          <w:szCs w:val="24"/>
          <w:lang w:eastAsia="zh-CN"/>
        </w:rPr>
        <w:t>，书面通知甲方</w:t>
      </w:r>
      <w:r>
        <w:rPr>
          <w:rFonts w:ascii="宋体" w:hAnsi="宋体" w:eastAsia="宋体" w:cs="Times New Roman"/>
          <w:color w:val="auto"/>
          <w:kern w:val="2"/>
          <w:sz w:val="24"/>
          <w:szCs w:val="24"/>
          <w:lang w:eastAsia="zh-CN"/>
        </w:rPr>
        <w:t>解除本合同</w:t>
      </w:r>
      <w:r>
        <w:rPr>
          <w:rFonts w:hint="eastAsia" w:ascii="宋体" w:hAnsi="宋体" w:eastAsia="宋体" w:cs="Times New Roman"/>
          <w:color w:val="auto"/>
          <w:kern w:val="2"/>
          <w:sz w:val="24"/>
          <w:szCs w:val="24"/>
          <w:lang w:eastAsia="zh-CN"/>
        </w:rPr>
        <w:t>；</w:t>
      </w:r>
    </w:p>
    <w:p w14:paraId="66CECC66">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3E438B">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47CB6D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37C92E6">
      <w:pPr>
        <w:spacing w:after="0" w:line="360" w:lineRule="auto"/>
        <w:ind w:firstLine="435"/>
        <w:jc w:val="both"/>
        <w:rPr>
          <w:rFonts w:ascii="宋体" w:hAnsi="宋体" w:eastAsia="宋体" w:cs="Times New Roman"/>
          <w:color w:val="auto"/>
          <w:kern w:val="2"/>
          <w:sz w:val="24"/>
          <w:szCs w:val="24"/>
          <w:highlight w:val="none"/>
          <w:lang w:eastAsia="zh-CN"/>
        </w:rPr>
      </w:pPr>
      <w:r>
        <w:rPr>
          <w:rFonts w:hint="eastAsia" w:ascii="宋体" w:hAnsi="宋体" w:eastAsia="宋体" w:cs="Times New Roman"/>
          <w:color w:val="auto"/>
          <w:kern w:val="2"/>
          <w:sz w:val="24"/>
          <w:szCs w:val="24"/>
          <w:lang w:eastAsia="zh-CN"/>
        </w:rPr>
        <w:t>1.6.6如果出现政府采购监督管理部门在处理投诉事项期间，书面通知甲方暂停采购活动的情形，或者询问或质疑事项可能影响中标结果的，导致甲方中止履行合同的情</w:t>
      </w:r>
      <w:r>
        <w:rPr>
          <w:rFonts w:hint="eastAsia" w:ascii="宋体" w:hAnsi="宋体" w:eastAsia="宋体" w:cs="Times New Roman"/>
          <w:color w:val="auto"/>
          <w:kern w:val="2"/>
          <w:sz w:val="24"/>
          <w:szCs w:val="24"/>
          <w:highlight w:val="none"/>
          <w:lang w:eastAsia="zh-CN"/>
        </w:rPr>
        <w:t>形，均不视为甲方违约。</w:t>
      </w:r>
    </w:p>
    <w:p w14:paraId="1B5C4023">
      <w:pPr>
        <w:spacing w:after="0" w:line="360" w:lineRule="auto"/>
        <w:ind w:firstLine="435"/>
        <w:jc w:val="both"/>
        <w:rPr>
          <w:rFonts w:ascii="宋体" w:hAnsi="宋体" w:eastAsia="宋体" w:cs="Times New Roman"/>
          <w:color w:val="auto"/>
          <w:kern w:val="2"/>
          <w:sz w:val="24"/>
          <w:szCs w:val="24"/>
          <w:highlight w:val="none"/>
          <w:lang w:eastAsia="zh-CN"/>
        </w:rPr>
      </w:pPr>
      <w:r>
        <w:rPr>
          <w:rFonts w:ascii="宋体" w:hAnsi="宋体" w:eastAsia="宋体" w:cs="Times New Roman"/>
          <w:color w:val="auto"/>
          <w:kern w:val="2"/>
          <w:sz w:val="24"/>
          <w:szCs w:val="24"/>
          <w:highlight w:val="none"/>
          <w:lang w:eastAsia="zh-CN"/>
        </w:rPr>
        <w:t>1.6.7因甲方未按合同约定支付价款、未按合同约定受领标的物、擅自解除合同</w:t>
      </w:r>
      <w:r>
        <w:rPr>
          <w:rFonts w:hint="eastAsia" w:ascii="宋体" w:hAnsi="宋体" w:eastAsia="宋体" w:cs="Times New Roman"/>
          <w:color w:val="auto"/>
          <w:kern w:val="2"/>
          <w:sz w:val="24"/>
          <w:szCs w:val="24"/>
          <w:highlight w:val="none"/>
          <w:lang w:eastAsia="zh-CN"/>
        </w:rPr>
        <w:t>、逾期退还履约保证金</w:t>
      </w:r>
      <w:r>
        <w:rPr>
          <w:rFonts w:ascii="宋体" w:hAnsi="宋体" w:eastAsia="宋体" w:cs="Times New Roman"/>
          <w:color w:val="auto"/>
          <w:kern w:val="2"/>
          <w:sz w:val="24"/>
          <w:szCs w:val="24"/>
          <w:highlight w:val="none"/>
          <w:lang w:eastAsia="zh-CN"/>
        </w:rPr>
        <w:t>导致乙方遭受的直接损失，乙方可向甲方申请赔偿，赔偿金额由双方协商一致；</w:t>
      </w:r>
      <w:r>
        <w:rPr>
          <w:rFonts w:hint="eastAsia" w:ascii="宋体" w:hAnsi="宋体" w:eastAsia="宋体" w:cs="Times New Roman"/>
          <w:color w:val="auto"/>
          <w:kern w:val="2"/>
          <w:sz w:val="24"/>
          <w:szCs w:val="24"/>
          <w:highlight w:val="none"/>
          <w:lang w:eastAsia="zh-CN"/>
        </w:rPr>
        <w:t>针对因政策变化等原因不能签订合同或解除合同时，造成乙方合法利益受损的情形，可以给予乙方合理补偿，补偿金额不得超过乙方的直接损失。</w:t>
      </w:r>
    </w:p>
    <w:p w14:paraId="7D5FA439">
      <w:pPr>
        <w:spacing w:after="0" w:line="360" w:lineRule="auto"/>
        <w:ind w:firstLine="437"/>
        <w:jc w:val="both"/>
        <w:outlineLvl w:val="2"/>
        <w:rPr>
          <w:rFonts w:ascii="宋体" w:hAnsi="宋体" w:eastAsia="宋体" w:cs="Times New Roman"/>
          <w:b/>
          <w:bCs/>
          <w:color w:val="auto"/>
          <w:kern w:val="2"/>
          <w:sz w:val="24"/>
          <w:szCs w:val="24"/>
          <w:highlight w:val="none"/>
          <w:lang w:val="zh-CN" w:eastAsia="zh-CN"/>
        </w:rPr>
      </w:pPr>
      <w:bookmarkStart w:id="57" w:name="_Toc28375"/>
      <w:bookmarkStart w:id="58" w:name="_Toc15583"/>
      <w:bookmarkStart w:id="59" w:name="_Toc16021"/>
      <w:r>
        <w:rPr>
          <w:rFonts w:hint="eastAsia" w:ascii="宋体" w:hAnsi="宋体" w:eastAsia="宋体" w:cs="Times New Roman"/>
          <w:b/>
          <w:bCs/>
          <w:color w:val="auto"/>
          <w:kern w:val="2"/>
          <w:sz w:val="24"/>
          <w:szCs w:val="24"/>
          <w:highlight w:val="none"/>
          <w:lang w:val="zh-CN" w:eastAsia="zh-CN"/>
        </w:rPr>
        <w:t>1.7</w:t>
      </w:r>
      <w:r>
        <w:rPr>
          <w:rFonts w:ascii="宋体" w:hAnsi="宋体" w:eastAsia="宋体" w:cs="Times New Roman"/>
          <w:b/>
          <w:bCs/>
          <w:color w:val="auto"/>
          <w:kern w:val="2"/>
          <w:sz w:val="24"/>
          <w:szCs w:val="24"/>
          <w:highlight w:val="none"/>
          <w:lang w:val="zh-CN" w:eastAsia="zh-CN"/>
        </w:rPr>
        <w:t xml:space="preserve"> </w:t>
      </w:r>
      <w:r>
        <w:rPr>
          <w:rFonts w:hint="eastAsia" w:ascii="宋体" w:hAnsi="宋体" w:eastAsia="宋体" w:cs="Times New Roman"/>
          <w:b/>
          <w:bCs/>
          <w:color w:val="auto"/>
          <w:kern w:val="2"/>
          <w:sz w:val="24"/>
          <w:szCs w:val="24"/>
          <w:highlight w:val="none"/>
          <w:lang w:val="zh-CN" w:eastAsia="zh-CN"/>
        </w:rPr>
        <w:t>合同</w:t>
      </w:r>
      <w:r>
        <w:rPr>
          <w:rFonts w:ascii="宋体" w:hAnsi="宋体" w:eastAsia="宋体" w:cs="Times New Roman"/>
          <w:b/>
          <w:bCs/>
          <w:color w:val="auto"/>
          <w:kern w:val="2"/>
          <w:sz w:val="24"/>
          <w:szCs w:val="24"/>
          <w:highlight w:val="none"/>
          <w:lang w:val="zh-CN" w:eastAsia="zh-CN"/>
        </w:rPr>
        <w:t>争议的解决</w:t>
      </w:r>
      <w:bookmarkEnd w:id="57"/>
      <w:bookmarkEnd w:id="58"/>
      <w:bookmarkEnd w:id="59"/>
    </w:p>
    <w:p w14:paraId="577B74DB">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本合</w:t>
      </w:r>
      <w:r>
        <w:rPr>
          <w:rFonts w:ascii="宋体" w:hAnsi="宋体" w:eastAsia="宋体" w:cs="Times New Roman"/>
          <w:color w:val="auto"/>
          <w:kern w:val="2"/>
          <w:sz w:val="24"/>
          <w:szCs w:val="24"/>
          <w:lang w:eastAsia="zh-CN"/>
        </w:rPr>
        <w:t>同履行过程中发生的任何争议，双方当事人均可</w:t>
      </w:r>
      <w:r>
        <w:rPr>
          <w:rFonts w:hint="eastAsia" w:ascii="宋体" w:hAnsi="宋体" w:eastAsia="宋体" w:cs="Times New Roman"/>
          <w:color w:val="auto"/>
          <w:kern w:val="2"/>
          <w:sz w:val="24"/>
          <w:szCs w:val="24"/>
          <w:lang w:eastAsia="zh-CN"/>
        </w:rPr>
        <w:t>通过和解或者调解解决；不愿和解、调解或者和解、调解不成的，可以选择下列第</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种方式解决：</w:t>
      </w:r>
    </w:p>
    <w:p w14:paraId="7E2B64C4">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1.7.1将争议提交</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仲裁委员会依申请仲裁时其现行有效的仲裁规则裁决；</w:t>
      </w:r>
    </w:p>
    <w:p w14:paraId="601328F2">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1.7.2向</w:t>
      </w:r>
      <w:r>
        <w:rPr>
          <w:rFonts w:hint="eastAsia" w:ascii="宋体" w:hAnsi="宋体" w:eastAsia="宋体" w:cs="Times New Roman"/>
          <w:color w:val="auto"/>
          <w:kern w:val="2"/>
          <w:sz w:val="24"/>
          <w:szCs w:val="24"/>
          <w:u w:val="single"/>
          <w:lang w:eastAsia="zh-CN"/>
        </w:rPr>
        <w:t xml:space="preserve">      </w:t>
      </w:r>
      <w:r>
        <w:rPr>
          <w:rFonts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u w:val="single"/>
          <w:lang w:eastAsia="zh-CN"/>
        </w:rPr>
        <w:t xml:space="preserve"> </w:t>
      </w:r>
      <w:r>
        <w:rPr>
          <w:rFonts w:hint="eastAsia" w:ascii="宋体" w:hAnsi="宋体" w:eastAsia="宋体" w:cs="Times New Roman"/>
          <w:color w:val="auto"/>
          <w:kern w:val="2"/>
          <w:sz w:val="24"/>
          <w:szCs w:val="24"/>
          <w:lang w:eastAsia="zh-CN"/>
        </w:rPr>
        <w:t>人民法院起诉。</w:t>
      </w:r>
    </w:p>
    <w:p w14:paraId="1EF49D91">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60" w:name="_Toc15322"/>
      <w:bookmarkStart w:id="61" w:name="_Toc11173"/>
      <w:bookmarkStart w:id="62" w:name="_Toc7245"/>
      <w:r>
        <w:rPr>
          <w:rFonts w:hint="eastAsia" w:ascii="宋体" w:hAnsi="宋体" w:eastAsia="宋体" w:cs="Times New Roman"/>
          <w:b/>
          <w:bCs/>
          <w:color w:val="auto"/>
          <w:kern w:val="2"/>
          <w:sz w:val="24"/>
          <w:szCs w:val="24"/>
          <w:lang w:val="zh-CN" w:eastAsia="zh-CN"/>
        </w:rPr>
        <w:t>1.8</w:t>
      </w:r>
      <w:r>
        <w:rPr>
          <w:rFonts w:ascii="宋体" w:hAnsi="宋体" w:eastAsia="宋体" w:cs="Times New Roman"/>
          <w:b/>
          <w:bCs/>
          <w:color w:val="auto"/>
          <w:kern w:val="2"/>
          <w:sz w:val="24"/>
          <w:szCs w:val="24"/>
          <w:lang w:val="zh-CN" w:eastAsia="zh-CN"/>
        </w:rPr>
        <w:t xml:space="preserve"> 合同生效</w:t>
      </w:r>
      <w:bookmarkEnd w:id="60"/>
      <w:bookmarkEnd w:id="61"/>
      <w:bookmarkEnd w:id="62"/>
    </w:p>
    <w:p w14:paraId="2D71C987">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本合同自</w:t>
      </w:r>
      <w:r>
        <w:rPr>
          <w:rFonts w:hint="eastAsia" w:ascii="宋体" w:hAnsi="宋体" w:eastAsia="宋体" w:cs="Times New Roman"/>
          <w:color w:val="auto"/>
          <w:kern w:val="2"/>
          <w:sz w:val="24"/>
          <w:szCs w:val="24"/>
          <w:lang w:eastAsia="zh-CN"/>
        </w:rPr>
        <w:t>双方当事人盖章时</w:t>
      </w:r>
      <w:r>
        <w:rPr>
          <w:rFonts w:ascii="宋体" w:hAnsi="宋体" w:eastAsia="宋体" w:cs="Times New Roman"/>
          <w:color w:val="auto"/>
          <w:kern w:val="2"/>
          <w:sz w:val="24"/>
          <w:szCs w:val="24"/>
          <w:lang w:eastAsia="zh-CN"/>
        </w:rPr>
        <w:t>生效。</w:t>
      </w:r>
    </w:p>
    <w:p w14:paraId="1A01A2ED">
      <w:pPr>
        <w:autoSpaceDE w:val="0"/>
        <w:autoSpaceDN w:val="0"/>
        <w:adjustRightInd w:val="0"/>
        <w:spacing w:after="0" w:line="560" w:lineRule="exact"/>
        <w:jc w:val="both"/>
        <w:rPr>
          <w:rFonts w:ascii="宋体" w:hAnsi="宋体" w:eastAsia="宋体" w:cs="Times New Roman"/>
          <w:color w:val="auto"/>
          <w:kern w:val="2"/>
          <w:sz w:val="24"/>
          <w:szCs w:val="24"/>
          <w:lang w:val="zh-CN" w:eastAsia="zh-CN"/>
        </w:rPr>
      </w:pPr>
    </w:p>
    <w:p w14:paraId="55D4AF9A">
      <w:pPr>
        <w:autoSpaceDE w:val="0"/>
        <w:autoSpaceDN w:val="0"/>
        <w:adjustRightInd w:val="0"/>
        <w:spacing w:after="0" w:line="560" w:lineRule="exact"/>
        <w:jc w:val="both"/>
        <w:rPr>
          <w:rFonts w:ascii="宋体" w:hAnsi="宋体" w:eastAsia="宋体" w:cs="Times New Roman"/>
          <w:bCs/>
          <w:color w:val="auto"/>
          <w:kern w:val="2"/>
          <w:sz w:val="24"/>
          <w:szCs w:val="24"/>
          <w:lang w:val="zh-CN" w:eastAsia="zh-CN"/>
        </w:rPr>
      </w:pPr>
      <w:r>
        <w:rPr>
          <w:rFonts w:hint="eastAsia" w:ascii="宋体" w:hAnsi="宋体" w:eastAsia="宋体" w:cs="Times New Roman"/>
          <w:bCs/>
          <w:color w:val="auto"/>
          <w:kern w:val="2"/>
          <w:sz w:val="24"/>
          <w:szCs w:val="24"/>
          <w:lang w:val="zh-CN" w:eastAsia="zh-CN"/>
        </w:rPr>
        <w:t xml:space="preserve">甲 </w:t>
      </w:r>
      <w:r>
        <w:rPr>
          <w:rFonts w:ascii="宋体" w:hAnsi="宋体" w:eastAsia="宋体" w:cs="Times New Roman"/>
          <w:bCs/>
          <w:color w:val="auto"/>
          <w:kern w:val="2"/>
          <w:sz w:val="24"/>
          <w:szCs w:val="24"/>
          <w:lang w:val="zh-CN" w:eastAsia="zh-CN"/>
        </w:rPr>
        <w:t xml:space="preserve">   </w:t>
      </w:r>
      <w:r>
        <w:rPr>
          <w:rFonts w:hint="eastAsia" w:ascii="宋体" w:hAnsi="宋体" w:eastAsia="宋体" w:cs="Times New Roman"/>
          <w:bCs/>
          <w:color w:val="auto"/>
          <w:kern w:val="2"/>
          <w:sz w:val="24"/>
          <w:szCs w:val="24"/>
          <w:lang w:val="zh-CN" w:eastAsia="zh-CN"/>
        </w:rPr>
        <w:t>方：</w:t>
      </w:r>
      <w:r>
        <w:rPr>
          <w:rFonts w:hint="eastAsia" w:ascii="宋体" w:hAnsi="宋体" w:eastAsia="宋体" w:cs="Times New Roman"/>
          <w:bCs/>
          <w:color w:val="auto"/>
          <w:kern w:val="2"/>
          <w:sz w:val="24"/>
          <w:szCs w:val="24"/>
          <w:u w:val="single"/>
          <w:lang w:val="zh-CN" w:eastAsia="zh-CN"/>
        </w:rPr>
        <w:t xml:space="preserve">    （单位盖章）     </w:t>
      </w:r>
      <w:r>
        <w:rPr>
          <w:rFonts w:hint="eastAsia" w:ascii="宋体" w:hAnsi="宋体" w:eastAsia="宋体" w:cs="Times New Roman"/>
          <w:bCs/>
          <w:color w:val="auto"/>
          <w:kern w:val="2"/>
          <w:sz w:val="24"/>
          <w:szCs w:val="24"/>
          <w:lang w:val="zh-CN" w:eastAsia="zh-CN"/>
        </w:rPr>
        <w:t xml:space="preserve">          乙方：</w:t>
      </w:r>
      <w:r>
        <w:rPr>
          <w:rFonts w:hint="eastAsia" w:ascii="宋体" w:hAnsi="宋体" w:eastAsia="宋体" w:cs="Times New Roman"/>
          <w:bCs/>
          <w:color w:val="auto"/>
          <w:kern w:val="2"/>
          <w:sz w:val="24"/>
          <w:szCs w:val="24"/>
          <w:u w:val="single"/>
          <w:lang w:val="zh-CN" w:eastAsia="zh-CN"/>
        </w:rPr>
        <w:t xml:space="preserve">    （单位盖章）     </w:t>
      </w:r>
    </w:p>
    <w:p w14:paraId="17E37D7F">
      <w:pPr>
        <w:autoSpaceDE w:val="0"/>
        <w:autoSpaceDN w:val="0"/>
        <w:adjustRightInd w:val="0"/>
        <w:spacing w:after="0" w:line="560" w:lineRule="exact"/>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 xml:space="preserve">法定代表人                             </w:t>
      </w:r>
      <w:r>
        <w:rPr>
          <w:rFonts w:ascii="宋体" w:hAnsi="宋体" w:eastAsia="宋体" w:cs="Times New Roman"/>
          <w:color w:val="auto"/>
          <w:kern w:val="2"/>
          <w:sz w:val="24"/>
          <w:szCs w:val="24"/>
          <w:lang w:val="zh-CN" w:eastAsia="zh-CN"/>
        </w:rPr>
        <w:t xml:space="preserve">  </w:t>
      </w:r>
      <w:r>
        <w:rPr>
          <w:rFonts w:hint="eastAsia" w:ascii="宋体" w:hAnsi="宋体" w:eastAsia="宋体" w:cs="Times New Roman"/>
          <w:color w:val="auto"/>
          <w:kern w:val="2"/>
          <w:sz w:val="24"/>
          <w:szCs w:val="24"/>
          <w:lang w:val="zh-CN" w:eastAsia="zh-CN"/>
        </w:rPr>
        <w:t>法定代表人</w:t>
      </w:r>
    </w:p>
    <w:p w14:paraId="17A19540">
      <w:pPr>
        <w:autoSpaceDE w:val="0"/>
        <w:autoSpaceDN w:val="0"/>
        <w:adjustRightInd w:val="0"/>
        <w:spacing w:after="0" w:line="560" w:lineRule="exact"/>
        <w:jc w:val="both"/>
        <w:rPr>
          <w:rFonts w:ascii="宋体" w:hAnsi="宋体" w:eastAsia="宋体" w:cs="Times New Roman"/>
          <w:color w:val="auto"/>
          <w:kern w:val="2"/>
          <w:sz w:val="24"/>
          <w:szCs w:val="24"/>
          <w:lang w:val="zh-CN" w:eastAsia="zh-CN"/>
        </w:rPr>
      </w:pPr>
      <w:r>
        <w:rPr>
          <w:rFonts w:hint="eastAsia" w:ascii="宋体" w:hAnsi="宋体" w:eastAsia="宋体" w:cs="Times New Roman"/>
          <w:color w:val="auto"/>
          <w:kern w:val="2"/>
          <w:sz w:val="24"/>
          <w:szCs w:val="24"/>
          <w:lang w:val="zh-CN" w:eastAsia="zh-CN"/>
        </w:rPr>
        <w:t>或授权代表（签字）：                      或授权代表（签字）：</w:t>
      </w:r>
    </w:p>
    <w:p w14:paraId="3E08CD5C">
      <w:pPr>
        <w:widowControl/>
        <w:spacing w:after="0" w:line="560" w:lineRule="exact"/>
        <w:jc w:val="left"/>
        <w:rPr>
          <w:rFonts w:ascii="宋体" w:hAnsi="宋体" w:eastAsia="宋体" w:cs="Times New Roman"/>
          <w:bCs/>
          <w:color w:val="auto"/>
          <w:kern w:val="2"/>
          <w:sz w:val="24"/>
          <w:szCs w:val="24"/>
          <w:lang w:eastAsia="zh-CN"/>
        </w:rPr>
      </w:pPr>
      <w:bookmarkStart w:id="63" w:name="_Toc331685783"/>
      <w:r>
        <w:rPr>
          <w:rFonts w:hint="eastAsia" w:ascii="宋体" w:hAnsi="宋体" w:eastAsia="宋体" w:cs="Times New Roman"/>
          <w:bCs/>
          <w:color w:val="auto"/>
          <w:kern w:val="2"/>
          <w:sz w:val="24"/>
          <w:szCs w:val="24"/>
          <w:lang w:eastAsia="zh-CN"/>
        </w:rPr>
        <w:t>时间：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月</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日               时间：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年</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月</w:t>
      </w:r>
      <w:r>
        <w:rPr>
          <w:rFonts w:hint="eastAsia" w:ascii="宋体" w:hAnsi="宋体" w:eastAsia="宋体" w:cs="Times New Roman"/>
          <w:bCs/>
          <w:color w:val="auto"/>
          <w:kern w:val="2"/>
          <w:sz w:val="24"/>
          <w:szCs w:val="24"/>
          <w:u w:val="single"/>
          <w:lang w:eastAsia="zh-CN"/>
        </w:rPr>
        <w:t xml:space="preserve"> </w:t>
      </w:r>
      <w:r>
        <w:rPr>
          <w:rFonts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u w:val="single"/>
          <w:lang w:eastAsia="zh-CN"/>
        </w:rPr>
        <w:t xml:space="preserve">  </w:t>
      </w:r>
      <w:r>
        <w:rPr>
          <w:rFonts w:hint="eastAsia" w:ascii="宋体" w:hAnsi="宋体" w:eastAsia="宋体" w:cs="Times New Roman"/>
          <w:bCs/>
          <w:color w:val="auto"/>
          <w:kern w:val="2"/>
          <w:sz w:val="24"/>
          <w:szCs w:val="24"/>
          <w:lang w:eastAsia="zh-CN"/>
        </w:rPr>
        <w:t>日</w:t>
      </w:r>
    </w:p>
    <w:p w14:paraId="66071B6E">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w:t>
      </w:r>
      <w:r>
        <w:rPr>
          <w:rFonts w:ascii="宋体" w:hAnsi="宋体" w:eastAsia="宋体" w:cs="@仿宋_GB2312"/>
          <w:color w:val="auto"/>
          <w:kern w:val="2"/>
          <w:sz w:val="24"/>
          <w:szCs w:val="24"/>
          <w:lang w:eastAsia="zh-CN"/>
        </w:rPr>
        <w:t xml:space="preserve">              </w:t>
      </w:r>
      <w:r>
        <w:rPr>
          <w:rFonts w:hint="eastAsia" w:ascii="宋体" w:hAnsi="宋体" w:eastAsia="宋体" w:cs="@仿宋_GB2312"/>
          <w:color w:val="auto"/>
          <w:kern w:val="2"/>
          <w:sz w:val="24"/>
          <w:szCs w:val="24"/>
          <w:lang w:eastAsia="zh-CN"/>
        </w:rPr>
        <w:t xml:space="preserve"> </w:t>
      </w:r>
      <w:bookmarkStart w:id="64" w:name="_Hlk110099149"/>
      <w:r>
        <w:rPr>
          <w:rFonts w:hint="eastAsia" w:ascii="宋体" w:hAnsi="宋体" w:eastAsia="宋体" w:cs="@仿宋_GB2312"/>
          <w:color w:val="auto"/>
          <w:kern w:val="2"/>
          <w:sz w:val="24"/>
          <w:szCs w:val="24"/>
          <w:lang w:eastAsia="zh-CN"/>
        </w:rPr>
        <w:t>乙方账户信息</w:t>
      </w:r>
    </w:p>
    <w:p w14:paraId="415F5481">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w:t>
      </w:r>
      <w:r>
        <w:rPr>
          <w:rFonts w:ascii="宋体" w:hAnsi="宋体" w:eastAsia="宋体" w:cs="@仿宋_GB2312"/>
          <w:color w:val="auto"/>
          <w:kern w:val="2"/>
          <w:sz w:val="24"/>
          <w:szCs w:val="24"/>
          <w:lang w:eastAsia="zh-CN"/>
        </w:rPr>
        <w:t xml:space="preserve">              </w:t>
      </w:r>
      <w:r>
        <w:rPr>
          <w:rFonts w:hint="eastAsia" w:ascii="宋体" w:hAnsi="宋体" w:eastAsia="宋体" w:cs="@仿宋_GB2312"/>
          <w:color w:val="auto"/>
          <w:kern w:val="2"/>
          <w:sz w:val="24"/>
          <w:szCs w:val="24"/>
          <w:lang w:eastAsia="zh-CN"/>
        </w:rPr>
        <w:t xml:space="preserve"> 户名：</w:t>
      </w:r>
      <w:r>
        <w:rPr>
          <w:rFonts w:hint="eastAsia" w:ascii="宋体" w:hAnsi="宋体" w:eastAsia="宋体" w:cs="@仿宋_GB2312"/>
          <w:color w:val="auto"/>
          <w:kern w:val="2"/>
          <w:sz w:val="24"/>
          <w:szCs w:val="24"/>
          <w:u w:val="single"/>
          <w:lang w:eastAsia="zh-CN"/>
        </w:rPr>
        <w:t xml:space="preserve">            </w:t>
      </w:r>
    </w:p>
    <w:p w14:paraId="722E6400">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账号：</w:t>
      </w:r>
      <w:r>
        <w:rPr>
          <w:rFonts w:hint="eastAsia" w:ascii="宋体" w:hAnsi="宋体" w:eastAsia="宋体" w:cs="@仿宋_GB2312"/>
          <w:color w:val="auto"/>
          <w:kern w:val="2"/>
          <w:sz w:val="24"/>
          <w:szCs w:val="24"/>
          <w:u w:val="single"/>
          <w:lang w:eastAsia="zh-CN"/>
        </w:rPr>
        <w:t xml:space="preserve">            </w:t>
      </w:r>
    </w:p>
    <w:p w14:paraId="172D38A3">
      <w:pPr>
        <w:spacing w:after="0" w:line="560" w:lineRule="exact"/>
        <w:jc w:val="both"/>
        <w:rPr>
          <w:rFonts w:ascii="宋体" w:hAnsi="宋体" w:eastAsia="宋体" w:cs="@仿宋_GB2312"/>
          <w:color w:val="auto"/>
          <w:kern w:val="2"/>
          <w:sz w:val="24"/>
          <w:szCs w:val="24"/>
          <w:lang w:eastAsia="zh-CN"/>
        </w:rPr>
      </w:pPr>
      <w:r>
        <w:rPr>
          <w:rFonts w:hint="eastAsia" w:ascii="宋体" w:hAnsi="宋体" w:eastAsia="宋体" w:cs="@仿宋_GB2312"/>
          <w:color w:val="auto"/>
          <w:kern w:val="2"/>
          <w:sz w:val="24"/>
          <w:szCs w:val="24"/>
          <w:lang w:eastAsia="zh-CN"/>
        </w:rPr>
        <w:t xml:space="preserve">                           </w:t>
      </w:r>
      <w:r>
        <w:rPr>
          <w:rFonts w:ascii="宋体" w:hAnsi="宋体" w:eastAsia="宋体" w:cs="@仿宋_GB2312"/>
          <w:color w:val="auto"/>
          <w:kern w:val="2"/>
          <w:sz w:val="24"/>
          <w:szCs w:val="24"/>
          <w:lang w:eastAsia="zh-CN"/>
        </w:rPr>
        <w:t xml:space="preserve">              </w:t>
      </w:r>
      <w:r>
        <w:rPr>
          <w:rFonts w:hint="eastAsia" w:ascii="宋体" w:hAnsi="宋体" w:eastAsia="宋体" w:cs="@仿宋_GB2312"/>
          <w:color w:val="auto"/>
          <w:kern w:val="2"/>
          <w:sz w:val="24"/>
          <w:szCs w:val="24"/>
          <w:lang w:eastAsia="zh-CN"/>
        </w:rPr>
        <w:t>开户银行：</w:t>
      </w:r>
      <w:r>
        <w:rPr>
          <w:rFonts w:hint="eastAsia" w:ascii="宋体" w:hAnsi="宋体" w:eastAsia="宋体" w:cs="@仿宋_GB2312"/>
          <w:color w:val="auto"/>
          <w:kern w:val="2"/>
          <w:sz w:val="24"/>
          <w:szCs w:val="24"/>
          <w:u w:val="single"/>
          <w:lang w:eastAsia="zh-CN"/>
        </w:rPr>
        <w:t xml:space="preserve">        </w:t>
      </w:r>
    </w:p>
    <w:bookmarkEnd w:id="64"/>
    <w:p w14:paraId="75C858E8">
      <w:pPr>
        <w:widowControl/>
        <w:spacing w:after="0" w:line="240" w:lineRule="auto"/>
        <w:jc w:val="left"/>
        <w:rPr>
          <w:rFonts w:ascii="宋体" w:hAnsi="宋体" w:eastAsia="宋体" w:cs="Times New Roman"/>
          <w:b/>
          <w:color w:val="auto"/>
          <w:kern w:val="2"/>
          <w:sz w:val="24"/>
          <w:szCs w:val="24"/>
          <w:lang w:eastAsia="zh-CN"/>
        </w:rPr>
      </w:pPr>
      <w:r>
        <w:rPr>
          <w:rFonts w:ascii="宋体" w:hAnsi="宋体" w:eastAsia="宋体" w:cs="Times New Roman"/>
          <w:b/>
          <w:color w:val="auto"/>
          <w:kern w:val="2"/>
          <w:sz w:val="24"/>
          <w:szCs w:val="24"/>
          <w:lang w:eastAsia="zh-CN"/>
        </w:rPr>
        <w:br w:type="page"/>
      </w:r>
    </w:p>
    <w:p w14:paraId="24C1C145">
      <w:pPr>
        <w:spacing w:after="0" w:line="360" w:lineRule="auto"/>
        <w:jc w:val="center"/>
        <w:outlineLvl w:val="1"/>
        <w:rPr>
          <w:rFonts w:ascii="宋体" w:hAnsi="宋体" w:eastAsia="宋体" w:cs="@仿宋_GB2312"/>
          <w:b/>
          <w:color w:val="auto"/>
          <w:kern w:val="2"/>
          <w:sz w:val="24"/>
          <w:szCs w:val="20"/>
          <w:lang w:eastAsia="zh-CN"/>
        </w:rPr>
      </w:pPr>
      <w:bookmarkStart w:id="65" w:name="_Toc415"/>
      <w:r>
        <w:rPr>
          <w:rFonts w:hint="eastAsia" w:ascii="宋体" w:hAnsi="宋体" w:eastAsia="宋体" w:cs="@仿宋_GB2312"/>
          <w:b/>
          <w:color w:val="auto"/>
          <w:kern w:val="2"/>
          <w:sz w:val="24"/>
          <w:szCs w:val="20"/>
          <w:lang w:eastAsia="zh-CN"/>
        </w:rPr>
        <w:t>第二部分</w:t>
      </w:r>
      <w:r>
        <w:rPr>
          <w:rFonts w:ascii="宋体" w:hAnsi="宋体" w:eastAsia="宋体" w:cs="@仿宋_GB2312"/>
          <w:b/>
          <w:color w:val="auto"/>
          <w:kern w:val="2"/>
          <w:sz w:val="24"/>
          <w:szCs w:val="20"/>
          <w:lang w:eastAsia="zh-CN"/>
        </w:rPr>
        <w:t xml:space="preserve"> </w:t>
      </w:r>
      <w:r>
        <w:rPr>
          <w:rFonts w:hint="eastAsia" w:ascii="宋体" w:hAnsi="宋体" w:eastAsia="宋体" w:cs="@仿宋_GB2312"/>
          <w:b/>
          <w:color w:val="auto"/>
          <w:kern w:val="2"/>
          <w:sz w:val="24"/>
          <w:szCs w:val="20"/>
          <w:lang w:eastAsia="zh-CN"/>
        </w:rPr>
        <w:t>合同一般条款</w:t>
      </w:r>
      <w:bookmarkEnd w:id="63"/>
      <w:bookmarkEnd w:id="65"/>
    </w:p>
    <w:p w14:paraId="367DB8BD">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66" w:name="_Toc279701240"/>
      <w:bookmarkStart w:id="67" w:name="_Ref467378463"/>
      <w:bookmarkStart w:id="68" w:name="_Toc19614"/>
      <w:bookmarkStart w:id="69" w:name="_Ref467379214"/>
      <w:bookmarkStart w:id="70" w:name="_Ref467378404"/>
      <w:bookmarkStart w:id="71" w:name="_Ref467379094"/>
      <w:bookmarkStart w:id="72" w:name="_Toc16917"/>
      <w:bookmarkStart w:id="73" w:name="_Ref467379109"/>
      <w:bookmarkStart w:id="74" w:name="_Toc259093669"/>
      <w:bookmarkStart w:id="75" w:name="_Ref467378499"/>
      <w:bookmarkStart w:id="76" w:name="_Ref467379205"/>
      <w:bookmarkStart w:id="77" w:name="_Ref467379195"/>
      <w:bookmarkStart w:id="78" w:name="_Ref467379101"/>
      <w:bookmarkStart w:id="79" w:name="_Toc487900349"/>
      <w:bookmarkStart w:id="80" w:name="_Ref467379225"/>
      <w:bookmarkStart w:id="81" w:name="_Toc28763"/>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 xml:space="preserve"> 定义</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88384E7">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本合同中的下列</w:t>
      </w:r>
      <w:r>
        <w:rPr>
          <w:rFonts w:hint="eastAsia" w:ascii="宋体" w:hAnsi="宋体" w:eastAsia="宋体" w:cs="Times New Roman"/>
          <w:color w:val="auto"/>
          <w:kern w:val="2"/>
          <w:sz w:val="24"/>
          <w:szCs w:val="24"/>
          <w:lang w:eastAsia="zh-CN"/>
        </w:rPr>
        <w:t>词</w:t>
      </w:r>
      <w:r>
        <w:rPr>
          <w:rFonts w:ascii="宋体" w:hAnsi="宋体" w:eastAsia="宋体" w:cs="Times New Roman"/>
          <w:color w:val="auto"/>
          <w:kern w:val="2"/>
          <w:sz w:val="24"/>
          <w:szCs w:val="24"/>
          <w:lang w:eastAsia="zh-CN"/>
        </w:rPr>
        <w:t>语应</w:t>
      </w:r>
      <w:r>
        <w:rPr>
          <w:rFonts w:hint="eastAsia" w:ascii="宋体" w:hAnsi="宋体" w:eastAsia="宋体" w:cs="Times New Roman"/>
          <w:color w:val="auto"/>
          <w:kern w:val="2"/>
          <w:sz w:val="24"/>
          <w:szCs w:val="24"/>
          <w:lang w:eastAsia="zh-CN"/>
        </w:rPr>
        <w:t>按以下内容进行</w:t>
      </w:r>
      <w:r>
        <w:rPr>
          <w:rFonts w:ascii="宋体" w:hAnsi="宋体" w:eastAsia="宋体" w:cs="Times New Roman"/>
          <w:color w:val="auto"/>
          <w:kern w:val="2"/>
          <w:sz w:val="24"/>
          <w:szCs w:val="24"/>
          <w:lang w:eastAsia="zh-CN"/>
        </w:rPr>
        <w:t>解释：</w:t>
      </w:r>
    </w:p>
    <w:p w14:paraId="5155059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.1</w:t>
      </w:r>
      <w:r>
        <w:rPr>
          <w:rFonts w:ascii="宋体" w:hAnsi="宋体" w:eastAsia="宋体" w:cs="Times New Roman"/>
          <w:color w:val="auto"/>
          <w:kern w:val="2"/>
          <w:sz w:val="24"/>
          <w:szCs w:val="24"/>
          <w:lang w:eastAsia="zh-CN"/>
        </w:rPr>
        <w:t>“合同”系指采购人和中标人签订的载明双方当事人所达成的协议，并包括所有的附件、附录和构成合同的其他文件。</w:t>
      </w:r>
    </w:p>
    <w:p w14:paraId="302E0FE2">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1.2“合同价”系指根据合同约定，中标人在完全履行合同义务后</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采购人应支付给中标人的价格。</w:t>
      </w:r>
    </w:p>
    <w:p w14:paraId="19D674F8">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1.3“</w:t>
      </w:r>
      <w:r>
        <w:rPr>
          <w:rFonts w:hint="eastAsia" w:ascii="宋体" w:hAnsi="宋体" w:eastAsia="宋体" w:cs="Times New Roman"/>
          <w:color w:val="auto"/>
          <w:kern w:val="2"/>
          <w:sz w:val="24"/>
          <w:szCs w:val="24"/>
          <w:lang w:eastAsia="zh-CN"/>
        </w:rPr>
        <w:t>服务</w:t>
      </w:r>
      <w:r>
        <w:rPr>
          <w:rFonts w:ascii="宋体" w:hAnsi="宋体" w:eastAsia="宋体" w:cs="Times New Roman"/>
          <w:color w:val="auto"/>
          <w:kern w:val="2"/>
          <w:sz w:val="24"/>
          <w:szCs w:val="24"/>
          <w:lang w:eastAsia="zh-CN"/>
        </w:rPr>
        <w:t>”系指</w:t>
      </w:r>
      <w:r>
        <w:rPr>
          <w:rFonts w:hint="eastAsia" w:ascii="宋体" w:hAnsi="宋体" w:eastAsia="宋体" w:cs="Times New Roman"/>
          <w:color w:val="auto"/>
          <w:kern w:val="2"/>
          <w:sz w:val="24"/>
          <w:szCs w:val="24"/>
          <w:lang w:eastAsia="zh-CN"/>
        </w:rPr>
        <w:t>中标人</w:t>
      </w:r>
      <w:r>
        <w:rPr>
          <w:rFonts w:ascii="宋体" w:hAnsi="宋体" w:eastAsia="宋体" w:cs="Times New Roman"/>
          <w:color w:val="auto"/>
          <w:kern w:val="2"/>
          <w:sz w:val="24"/>
          <w:szCs w:val="24"/>
          <w:lang w:eastAsia="zh-CN"/>
        </w:rPr>
        <w:t>根据合同约定应向采购人</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的</w:t>
      </w:r>
      <w:r>
        <w:rPr>
          <w:rFonts w:hint="eastAsia" w:ascii="宋体" w:hAnsi="宋体" w:eastAsia="宋体" w:cs="Times New Roman"/>
          <w:color w:val="auto"/>
          <w:kern w:val="2"/>
          <w:sz w:val="24"/>
          <w:szCs w:val="24"/>
          <w:lang w:eastAsia="zh-CN"/>
        </w:rPr>
        <w:t>除货物和工程以外的其他政府采购对象，包括采购人自身需要的服务和向社会公众提供的公共服务。</w:t>
      </w:r>
    </w:p>
    <w:p w14:paraId="1E20E53B">
      <w:pPr>
        <w:spacing w:after="0" w:line="360" w:lineRule="auto"/>
        <w:ind w:firstLine="435"/>
        <w:jc w:val="both"/>
        <w:rPr>
          <w:rFonts w:ascii="宋体" w:hAnsi="宋体" w:eastAsia="宋体" w:cs="Times New Roman"/>
          <w:color w:val="auto"/>
          <w:kern w:val="2"/>
          <w:sz w:val="24"/>
          <w:szCs w:val="24"/>
          <w:lang w:eastAsia="zh-CN"/>
        </w:rPr>
      </w:pPr>
      <w:bookmarkStart w:id="82" w:name="_Ref467378840"/>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4</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甲方</w:t>
      </w:r>
      <w:r>
        <w:rPr>
          <w:rFonts w:ascii="宋体" w:hAnsi="宋体" w:eastAsia="宋体" w:cs="Times New Roman"/>
          <w:color w:val="auto"/>
          <w:kern w:val="2"/>
          <w:sz w:val="24"/>
          <w:szCs w:val="24"/>
          <w:lang w:eastAsia="zh-CN"/>
        </w:rPr>
        <w:t>”系指与</w:t>
      </w:r>
      <w:r>
        <w:rPr>
          <w:rFonts w:hint="eastAsia" w:ascii="宋体" w:hAnsi="宋体" w:eastAsia="宋体" w:cs="Times New Roman"/>
          <w:color w:val="auto"/>
          <w:kern w:val="2"/>
          <w:sz w:val="24"/>
          <w:szCs w:val="24"/>
          <w:lang w:eastAsia="zh-CN"/>
        </w:rPr>
        <w:t>中标人</w:t>
      </w:r>
      <w:r>
        <w:rPr>
          <w:rFonts w:ascii="宋体" w:hAnsi="宋体" w:eastAsia="宋体" w:cs="Times New Roman"/>
          <w:color w:val="auto"/>
          <w:kern w:val="2"/>
          <w:sz w:val="24"/>
          <w:szCs w:val="24"/>
          <w:lang w:eastAsia="zh-CN"/>
        </w:rPr>
        <w:t>签署合同的采购人</w:t>
      </w:r>
      <w:bookmarkEnd w:id="82"/>
      <w:r>
        <w:rPr>
          <w:rFonts w:hint="eastAsia" w:ascii="宋体" w:hAnsi="宋体" w:eastAsia="宋体" w:cs="Times New Roman"/>
          <w:color w:val="auto"/>
          <w:kern w:val="2"/>
          <w:sz w:val="24"/>
          <w:szCs w:val="24"/>
          <w:lang w:eastAsia="zh-CN"/>
        </w:rPr>
        <w:t>；采购人委托采购代理机构代表其与乙方签订合同的，采购人的授权委托书作为合同附件。</w:t>
      </w:r>
    </w:p>
    <w:p w14:paraId="01675A11">
      <w:pPr>
        <w:spacing w:after="0" w:line="360" w:lineRule="auto"/>
        <w:ind w:firstLine="435"/>
        <w:jc w:val="both"/>
        <w:rPr>
          <w:rFonts w:ascii="宋体" w:hAnsi="宋体" w:eastAsia="宋体" w:cs="Times New Roman"/>
          <w:color w:val="auto"/>
          <w:kern w:val="2"/>
          <w:sz w:val="24"/>
          <w:szCs w:val="24"/>
          <w:lang w:eastAsia="zh-CN"/>
        </w:rPr>
      </w:pPr>
      <w:bookmarkStart w:id="83" w:name="_Ref467379400"/>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5</w:t>
      </w:r>
      <w:r>
        <w:rPr>
          <w:rFonts w:ascii="宋体" w:hAnsi="宋体" w:eastAsia="宋体" w:cs="Times New Roman"/>
          <w:color w:val="auto"/>
          <w:kern w:val="2"/>
          <w:sz w:val="24"/>
          <w:szCs w:val="24"/>
          <w:lang w:eastAsia="zh-CN"/>
        </w:rPr>
        <w:t>“乙方”系指根据合同约定</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的中标人</w:t>
      </w:r>
      <w:bookmarkEnd w:id="83"/>
      <w:r>
        <w:rPr>
          <w:rFonts w:hint="eastAsia" w:ascii="宋体" w:hAnsi="宋体" w:eastAsia="宋体" w:cs="Times New Roman"/>
          <w:color w:val="auto"/>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856C23F">
      <w:pPr>
        <w:spacing w:after="0" w:line="360" w:lineRule="auto"/>
        <w:ind w:firstLine="435"/>
        <w:jc w:val="both"/>
        <w:rPr>
          <w:rFonts w:ascii="宋体" w:hAnsi="宋体" w:eastAsia="宋体" w:cs="Times New Roman"/>
          <w:color w:val="auto"/>
          <w:kern w:val="2"/>
          <w:sz w:val="24"/>
          <w:szCs w:val="24"/>
          <w:lang w:eastAsia="zh-CN"/>
        </w:rPr>
      </w:pPr>
      <w:bookmarkStart w:id="84" w:name="_Ref467379436"/>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6</w:t>
      </w:r>
      <w:r>
        <w:rPr>
          <w:rFonts w:ascii="宋体" w:hAnsi="宋体" w:eastAsia="宋体" w:cs="Times New Roman"/>
          <w:color w:val="auto"/>
          <w:kern w:val="2"/>
          <w:sz w:val="24"/>
          <w:szCs w:val="24"/>
          <w:lang w:eastAsia="zh-CN"/>
        </w:rPr>
        <w:t>“现场”系指合同约定</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的地点。</w:t>
      </w:r>
      <w:bookmarkEnd w:id="84"/>
    </w:p>
    <w:p w14:paraId="062E9B30">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85" w:name="_Toc487900350"/>
      <w:bookmarkStart w:id="86" w:name="_Toc32504"/>
      <w:bookmarkStart w:id="87" w:name="_Toc259093670"/>
      <w:bookmarkStart w:id="88" w:name="_Toc279701241"/>
      <w:bookmarkStart w:id="89" w:name="_Toc27635"/>
      <w:bookmarkStart w:id="90" w:name="_Toc13336"/>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2 技术规范</w:t>
      </w:r>
      <w:bookmarkEnd w:id="85"/>
      <w:bookmarkEnd w:id="86"/>
      <w:bookmarkEnd w:id="87"/>
      <w:bookmarkEnd w:id="88"/>
      <w:bookmarkEnd w:id="89"/>
      <w:bookmarkEnd w:id="90"/>
    </w:p>
    <w:p w14:paraId="0F5F083D">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如果采购文件中没有技术规范的相应说明，那么应以国家有关部门最新颁布的相应标准</w:t>
      </w:r>
      <w:r>
        <w:rPr>
          <w:rFonts w:hint="eastAsia" w:ascii="宋体" w:hAnsi="宋体" w:eastAsia="宋体" w:cs="Times New Roman"/>
          <w:color w:val="auto"/>
          <w:kern w:val="2"/>
          <w:sz w:val="24"/>
          <w:szCs w:val="24"/>
          <w:lang w:eastAsia="zh-CN"/>
        </w:rPr>
        <w:t>和</w:t>
      </w:r>
      <w:r>
        <w:rPr>
          <w:rFonts w:ascii="宋体" w:hAnsi="宋体" w:eastAsia="宋体" w:cs="Times New Roman"/>
          <w:color w:val="auto"/>
          <w:kern w:val="2"/>
          <w:sz w:val="24"/>
          <w:szCs w:val="24"/>
          <w:lang w:eastAsia="zh-CN"/>
        </w:rPr>
        <w:t>规范为准。</w:t>
      </w:r>
    </w:p>
    <w:p w14:paraId="0A3B1717">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91" w:name="_Toc279701242"/>
      <w:bookmarkStart w:id="92" w:name="_Toc259093671"/>
      <w:bookmarkStart w:id="93" w:name="_Toc487900351"/>
      <w:bookmarkStart w:id="94" w:name="_Toc9829"/>
      <w:bookmarkStart w:id="95" w:name="_Toc31634"/>
      <w:bookmarkStart w:id="96" w:name="_Toc27853"/>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3 知识产权</w:t>
      </w:r>
      <w:bookmarkEnd w:id="91"/>
      <w:bookmarkEnd w:id="92"/>
      <w:bookmarkEnd w:id="93"/>
      <w:bookmarkEnd w:id="94"/>
      <w:bookmarkEnd w:id="95"/>
      <w:bookmarkEnd w:id="96"/>
    </w:p>
    <w:p w14:paraId="62C3C8E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2.3.1乙</w:t>
      </w:r>
      <w:r>
        <w:rPr>
          <w:rFonts w:ascii="宋体" w:hAnsi="宋体" w:eastAsia="宋体" w:cs="Times New Roman"/>
          <w:color w:val="auto"/>
          <w:kern w:val="2"/>
          <w:sz w:val="24"/>
          <w:szCs w:val="24"/>
          <w:lang w:eastAsia="zh-CN"/>
        </w:rPr>
        <w:t>方应保证</w:t>
      </w:r>
      <w:r>
        <w:rPr>
          <w:rFonts w:hint="eastAsia" w:ascii="宋体" w:hAnsi="宋体" w:eastAsia="宋体" w:cs="Times New Roman"/>
          <w:color w:val="auto"/>
          <w:kern w:val="2"/>
          <w:sz w:val="24"/>
          <w:szCs w:val="24"/>
          <w:lang w:eastAsia="zh-CN"/>
        </w:rPr>
        <w:t>其提供的服务</w:t>
      </w:r>
      <w:r>
        <w:rPr>
          <w:rFonts w:ascii="宋体" w:hAnsi="宋体" w:eastAsia="宋体" w:cs="Times New Roman"/>
          <w:color w:val="auto"/>
          <w:kern w:val="2"/>
          <w:sz w:val="24"/>
          <w:szCs w:val="24"/>
          <w:lang w:eastAsia="zh-CN"/>
        </w:rPr>
        <w:t>不受任何第三方提出的侵犯其著作权、商标权、专利权等知识产权方面的起诉</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如果任何第三方提出侵权</w:t>
      </w:r>
      <w:r>
        <w:rPr>
          <w:rFonts w:hint="eastAsia" w:ascii="宋体" w:hAnsi="宋体" w:eastAsia="宋体" w:cs="Times New Roman"/>
          <w:color w:val="auto"/>
          <w:kern w:val="2"/>
          <w:sz w:val="24"/>
          <w:szCs w:val="24"/>
          <w:lang w:eastAsia="zh-CN"/>
        </w:rPr>
        <w:t>指控</w:t>
      </w:r>
      <w:r>
        <w:rPr>
          <w:rFonts w:ascii="宋体" w:hAnsi="宋体" w:eastAsia="宋体" w:cs="Times New Roman"/>
          <w:color w:val="auto"/>
          <w:kern w:val="2"/>
          <w:sz w:val="24"/>
          <w:szCs w:val="24"/>
          <w:lang w:eastAsia="zh-CN"/>
        </w:rPr>
        <w:t>，那么乙方须与该第三方交涉并承担由此发生的一切责任、费用和赔偿</w:t>
      </w:r>
      <w:r>
        <w:rPr>
          <w:rFonts w:hint="eastAsia" w:ascii="宋体" w:hAnsi="宋体" w:eastAsia="宋体" w:cs="Times New Roman"/>
          <w:color w:val="auto"/>
          <w:kern w:val="2"/>
          <w:sz w:val="24"/>
          <w:szCs w:val="24"/>
          <w:lang w:eastAsia="zh-CN"/>
        </w:rPr>
        <w:t>；</w:t>
      </w:r>
    </w:p>
    <w:p w14:paraId="23A27CE9">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2.3.2具有知识产权的计算机软件等货物的知识产权归属，</w:t>
      </w:r>
      <w:r>
        <w:rPr>
          <w:rFonts w:ascii="宋体" w:hAnsi="宋体" w:eastAsia="宋体" w:cs="Times New Roman"/>
          <w:color w:val="auto"/>
          <w:kern w:val="2"/>
          <w:sz w:val="24"/>
          <w:szCs w:val="24"/>
          <w:lang w:eastAsia="zh-CN"/>
        </w:rPr>
        <w:t>详见</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w:t>
      </w:r>
    </w:p>
    <w:p w14:paraId="22CAB609">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97" w:name="_Ref467379536"/>
      <w:bookmarkStart w:id="98" w:name="_Ref467378591"/>
      <w:bookmarkStart w:id="99" w:name="_Toc279701245"/>
      <w:bookmarkStart w:id="100" w:name="_Ref467379542"/>
      <w:bookmarkStart w:id="101" w:name="_Toc259093674"/>
      <w:bookmarkStart w:id="102" w:name="_Toc487900354"/>
      <w:bookmarkStart w:id="103" w:name="_Ref467378541"/>
      <w:bookmarkStart w:id="104" w:name="_Ref467379527"/>
      <w:bookmarkStart w:id="105" w:name="_Toc19074"/>
      <w:bookmarkStart w:id="106" w:name="_Toc26182"/>
      <w:bookmarkStart w:id="107" w:name="_Toc30272"/>
      <w:r>
        <w:rPr>
          <w:rFonts w:hint="eastAsia" w:ascii="宋体" w:hAnsi="宋体" w:eastAsia="宋体" w:cs="Times New Roman"/>
          <w:b/>
          <w:bCs/>
          <w:color w:val="auto"/>
          <w:kern w:val="2"/>
          <w:sz w:val="24"/>
          <w:szCs w:val="24"/>
          <w:lang w:val="zh-CN" w:eastAsia="zh-CN"/>
        </w:rPr>
        <w:t>2.</w:t>
      </w:r>
      <w:bookmarkEnd w:id="97"/>
      <w:bookmarkEnd w:id="98"/>
      <w:bookmarkEnd w:id="99"/>
      <w:bookmarkEnd w:id="100"/>
      <w:bookmarkEnd w:id="101"/>
      <w:bookmarkEnd w:id="102"/>
      <w:bookmarkEnd w:id="103"/>
      <w:bookmarkEnd w:id="104"/>
      <w:r>
        <w:rPr>
          <w:rFonts w:ascii="宋体" w:hAnsi="宋体" w:eastAsia="宋体" w:cs="Times New Roman"/>
          <w:b/>
          <w:bCs/>
          <w:color w:val="auto"/>
          <w:kern w:val="2"/>
          <w:sz w:val="24"/>
          <w:szCs w:val="24"/>
          <w:lang w:val="zh-CN" w:eastAsia="zh-CN"/>
        </w:rPr>
        <w:t xml:space="preserve">4 </w:t>
      </w:r>
      <w:r>
        <w:rPr>
          <w:rFonts w:hint="eastAsia" w:ascii="宋体" w:hAnsi="宋体" w:eastAsia="宋体" w:cs="Times New Roman"/>
          <w:b/>
          <w:bCs/>
          <w:color w:val="auto"/>
          <w:kern w:val="2"/>
          <w:sz w:val="24"/>
          <w:szCs w:val="24"/>
          <w:lang w:val="zh-CN" w:eastAsia="zh-CN"/>
        </w:rPr>
        <w:t>履约检查和问题反馈</w:t>
      </w:r>
      <w:bookmarkEnd w:id="105"/>
      <w:bookmarkEnd w:id="106"/>
      <w:bookmarkEnd w:id="107"/>
    </w:p>
    <w:p w14:paraId="1E81BAE3">
      <w:pPr>
        <w:spacing w:after="0" w:line="360" w:lineRule="auto"/>
        <w:ind w:firstLine="435"/>
        <w:jc w:val="both"/>
        <w:rPr>
          <w:rFonts w:ascii="宋体" w:hAnsi="宋体" w:eastAsia="宋体" w:cs="Times New Roman"/>
          <w:color w:val="auto"/>
          <w:kern w:val="2"/>
          <w:sz w:val="24"/>
          <w:szCs w:val="24"/>
          <w:lang w:eastAsia="zh-CN"/>
        </w:rPr>
      </w:pPr>
      <w:bookmarkStart w:id="108" w:name="_Toc186431854"/>
      <w:bookmarkStart w:id="109" w:name="_Ref467379793"/>
      <w:bookmarkStart w:id="110" w:name="_Toc487900357"/>
      <w:bookmarkStart w:id="111" w:name="_Toc259093676"/>
      <w:bookmarkStart w:id="112" w:name="_Ref467379807"/>
      <w:bookmarkStart w:id="113" w:name="_Toc279701247"/>
      <w:r>
        <w:rPr>
          <w:rFonts w:hint="eastAsia" w:ascii="宋体" w:hAnsi="宋体" w:eastAsia="宋体" w:cs="Times New Roman"/>
          <w:color w:val="auto"/>
          <w:kern w:val="2"/>
          <w:sz w:val="24"/>
          <w:szCs w:val="24"/>
          <w:lang w:eastAsia="zh-CN"/>
        </w:rPr>
        <w:t>2.4</w:t>
      </w:r>
      <w:r>
        <w:rPr>
          <w:rFonts w:ascii="宋体" w:hAnsi="宋体" w:eastAsia="宋体" w:cs="Times New Roman"/>
          <w:color w:val="auto"/>
          <w:kern w:val="2"/>
          <w:sz w:val="24"/>
          <w:szCs w:val="24"/>
          <w:lang w:eastAsia="zh-CN"/>
        </w:rPr>
        <w:t>.1甲方</w:t>
      </w:r>
      <w:r>
        <w:rPr>
          <w:rFonts w:hint="eastAsia" w:ascii="宋体" w:hAnsi="宋体" w:eastAsia="宋体" w:cs="Times New Roman"/>
          <w:color w:val="auto"/>
          <w:kern w:val="2"/>
          <w:sz w:val="24"/>
          <w:szCs w:val="24"/>
          <w:lang w:eastAsia="zh-CN"/>
        </w:rPr>
        <w:t>有权</w:t>
      </w:r>
      <w:r>
        <w:rPr>
          <w:rFonts w:ascii="宋体" w:hAnsi="宋体" w:eastAsia="宋体" w:cs="Times New Roman"/>
          <w:color w:val="auto"/>
          <w:kern w:val="2"/>
          <w:sz w:val="24"/>
          <w:szCs w:val="24"/>
          <w:lang w:eastAsia="zh-CN"/>
        </w:rPr>
        <w:t>在其认为必要时</w:t>
      </w:r>
      <w:r>
        <w:rPr>
          <w:rFonts w:hint="eastAsia" w:ascii="宋体" w:hAnsi="宋体" w:eastAsia="宋体" w:cs="Times New Roman"/>
          <w:color w:val="auto"/>
          <w:kern w:val="2"/>
          <w:sz w:val="24"/>
          <w:szCs w:val="24"/>
          <w:lang w:eastAsia="zh-CN"/>
        </w:rPr>
        <w:t>，对乙方是否能够按照合同约定提供服务进行履约检查，以确保乙方所提供的服务能够依约满足甲方项目需求，但不得因履约检查妨碍乙方的正常工作，乙方应予积极配合；</w:t>
      </w:r>
    </w:p>
    <w:p w14:paraId="66BF640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4</w:t>
      </w:r>
      <w:r>
        <w:rPr>
          <w:rFonts w:hint="eastAsia" w:ascii="宋体" w:hAnsi="宋体" w:eastAsia="宋体" w:cs="Times New Roman"/>
          <w:color w:val="auto"/>
          <w:kern w:val="2"/>
          <w:sz w:val="24"/>
          <w:szCs w:val="24"/>
          <w:lang w:eastAsia="zh-CN"/>
        </w:rPr>
        <w:t>.2合同履行期间，甲方有权将履行过程中出现的问题反馈给乙方，双方当事人应以书面形式约定需要完善和改进的内容</w:t>
      </w:r>
      <w:bookmarkEnd w:id="108"/>
      <w:bookmarkStart w:id="114" w:name="_Toc186431855"/>
      <w:r>
        <w:rPr>
          <w:rFonts w:hint="eastAsia" w:ascii="宋体" w:hAnsi="宋体" w:eastAsia="宋体" w:cs="Times New Roman"/>
          <w:color w:val="auto"/>
          <w:kern w:val="2"/>
          <w:sz w:val="24"/>
          <w:szCs w:val="24"/>
          <w:lang w:eastAsia="zh-CN"/>
        </w:rPr>
        <w:t>。</w:t>
      </w:r>
    </w:p>
    <w:bookmarkEnd w:id="114"/>
    <w:p w14:paraId="02428C08">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15" w:name="_Toc28451"/>
      <w:bookmarkStart w:id="116" w:name="_Toc7836"/>
      <w:bookmarkStart w:id="117" w:name="_Toc19219"/>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5</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结算方式和付款条件</w:t>
      </w:r>
      <w:bookmarkEnd w:id="109"/>
      <w:bookmarkEnd w:id="110"/>
      <w:bookmarkEnd w:id="111"/>
      <w:bookmarkEnd w:id="112"/>
      <w:bookmarkEnd w:id="113"/>
      <w:bookmarkEnd w:id="115"/>
      <w:bookmarkEnd w:id="116"/>
      <w:bookmarkEnd w:id="117"/>
    </w:p>
    <w:p w14:paraId="3BB91BD8">
      <w:pPr>
        <w:keepNext w:val="0"/>
        <w:keepLines w:val="0"/>
        <w:pageBreakBefore w:val="0"/>
        <w:widowControl w:val="0"/>
        <w:kinsoku/>
        <w:wordWrap/>
        <w:overflowPunct/>
        <w:topLinePunct w:val="0"/>
        <w:autoSpaceDE w:val="0"/>
        <w:autoSpaceDN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合同价款支付</w:t>
      </w:r>
      <w:r>
        <w:rPr>
          <w:rFonts w:hint="eastAsia" w:ascii="宋体" w:hAnsi="宋体" w:eastAsia="宋体" w:cs="宋体"/>
          <w:color w:val="auto"/>
          <w:sz w:val="24"/>
          <w:szCs w:val="24"/>
        </w:rPr>
        <w:t>按照国库集中支付</w:t>
      </w:r>
      <w:r>
        <w:rPr>
          <w:rFonts w:hint="eastAsia" w:ascii="宋体" w:hAnsi="宋体" w:eastAsia="宋体" w:cs="宋体"/>
          <w:color w:val="auto"/>
          <w:sz w:val="24"/>
          <w:szCs w:val="24"/>
          <w:lang w:eastAsia="zh-CN"/>
        </w:rPr>
        <w:t>制度及财政管理相关</w:t>
      </w:r>
      <w:r>
        <w:rPr>
          <w:rFonts w:hint="eastAsia" w:ascii="宋体" w:hAnsi="宋体" w:eastAsia="宋体" w:cs="宋体"/>
          <w:color w:val="auto"/>
          <w:sz w:val="24"/>
          <w:szCs w:val="24"/>
        </w:rPr>
        <w:t>规定执行。</w:t>
      </w:r>
    </w:p>
    <w:p w14:paraId="3C88D68B">
      <w:pPr>
        <w:keepNext w:val="0"/>
        <w:keepLines w:val="0"/>
        <w:pageBreakBefore w:val="0"/>
        <w:widowControl w:val="0"/>
        <w:kinsoku/>
        <w:wordWrap/>
        <w:overflowPunct/>
        <w:topLinePunct w:val="0"/>
        <w:autoSpaceDE w:val="0"/>
        <w:autoSpaceDN w:val="0"/>
        <w:bidi w:val="0"/>
        <w:adjustRightInd w:val="0"/>
        <w:snapToGrid w:val="0"/>
        <w:spacing w:before="0" w:beforeLines="0" w:line="360"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2.5.2 </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从中小企业采购货物、工程、服务，应当自货物、工程、服务交付之日起30日内支付款项；合同另有约定的，从其约定，但付款期限最长不得超过60日。</w:t>
      </w:r>
      <w:r>
        <w:rPr>
          <w:rFonts w:hint="eastAsia" w:ascii="宋体" w:hAnsi="宋体" w:eastAsia="宋体" w:cs="宋体"/>
          <w:color w:val="auto"/>
          <w:sz w:val="24"/>
          <w:szCs w:val="24"/>
          <w:lang w:val="en-US" w:eastAsia="zh-CN"/>
        </w:rPr>
        <w:t>法律、行政法规或者国家有关规定对付款期限另有规定的，从其规定。</w:t>
      </w:r>
      <w:r>
        <w:rPr>
          <w:rFonts w:hint="default" w:ascii="宋体" w:hAnsi="宋体" w:eastAsia="宋体" w:cs="宋体"/>
          <w:color w:val="auto"/>
          <w:sz w:val="24"/>
          <w:szCs w:val="24"/>
          <w:lang w:val="en-US" w:eastAsia="zh-CN"/>
        </w:rPr>
        <w:t>合同约定采取履行进度结算、定期结算等结算方式的，付款期限应当自双方确认结算金额之日起算。</w:t>
      </w:r>
    </w:p>
    <w:p w14:paraId="0BA7C571">
      <w:pPr>
        <w:keepNext w:val="0"/>
        <w:keepLines w:val="0"/>
        <w:pageBreakBefore w:val="0"/>
        <w:widowControl w:val="0"/>
        <w:kinsoku/>
        <w:wordWrap/>
        <w:overflowPunct/>
        <w:topLinePunct w:val="0"/>
        <w:bidi w:val="0"/>
        <w:spacing w:after="0" w:line="360" w:lineRule="auto"/>
        <w:ind w:firstLine="435"/>
        <w:jc w:val="both"/>
        <w:textAlignment w:val="auto"/>
        <w:rPr>
          <w:rFonts w:ascii="宋体" w:hAnsi="宋体" w:eastAsia="宋体" w:cs="Times New Roman"/>
          <w:color w:val="auto"/>
          <w:kern w:val="2"/>
          <w:sz w:val="24"/>
          <w:szCs w:val="24"/>
          <w:lang w:eastAsia="zh-CN"/>
        </w:rPr>
      </w:pPr>
      <w:r>
        <w:rPr>
          <w:rFonts w:hint="eastAsia" w:ascii="宋体" w:hAnsi="宋体" w:eastAsia="宋体" w:cs="宋体"/>
          <w:color w:val="auto"/>
          <w:sz w:val="24"/>
          <w:szCs w:val="24"/>
          <w:lang w:val="en-US" w:eastAsia="zh-CN"/>
        </w:rPr>
        <w:t xml:space="preserve">2.5.3 </w:t>
      </w:r>
      <w:r>
        <w:rPr>
          <w:rFonts w:hint="eastAsia" w:ascii="宋体" w:hAnsi="宋体" w:eastAsia="宋体" w:cs="宋体"/>
          <w:color w:val="auto"/>
          <w:sz w:val="24"/>
          <w:szCs w:val="24"/>
        </w:rPr>
        <w:t>对于满足合同约定支付条件的，</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原则上应当自收到发票后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个工作日内将资金支付到合同约定的</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账户，不得以机构变动、人员</w:t>
      </w:r>
      <w:r>
        <w:rPr>
          <w:rFonts w:hint="eastAsia" w:ascii="宋体" w:hAnsi="宋体" w:eastAsia="宋体" w:cs="宋体"/>
          <w:b w:val="0"/>
          <w:bCs w:val="0"/>
          <w:color w:val="auto"/>
          <w:kern w:val="2"/>
          <w:sz w:val="24"/>
          <w:szCs w:val="24"/>
          <w:highlight w:val="none"/>
        </w:rPr>
        <w:t>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w:t>
      </w:r>
      <w:r>
        <w:rPr>
          <w:rFonts w:ascii="宋体" w:hAnsi="宋体" w:eastAsia="宋体" w:cs="Times New Roman"/>
          <w:color w:val="auto"/>
          <w:kern w:val="2"/>
          <w:sz w:val="24"/>
          <w:szCs w:val="24"/>
          <w:lang w:eastAsia="zh-CN"/>
        </w:rPr>
        <w:t>详见</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w:t>
      </w:r>
    </w:p>
    <w:p w14:paraId="4275CB29">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18" w:name="_Toc487900358"/>
      <w:bookmarkStart w:id="119" w:name="_Toc259093677"/>
      <w:bookmarkStart w:id="120" w:name="_Toc279701248"/>
      <w:bookmarkStart w:id="121" w:name="_Ref467379863"/>
      <w:bookmarkStart w:id="122" w:name="_Ref467379852"/>
      <w:bookmarkStart w:id="123" w:name="_Ref467379923"/>
      <w:bookmarkStart w:id="124" w:name="_Toc774"/>
      <w:bookmarkStart w:id="125" w:name="_Toc3225"/>
      <w:bookmarkStart w:id="126" w:name="_Toc16110"/>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6</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技术资料</w:t>
      </w:r>
      <w:bookmarkEnd w:id="118"/>
      <w:bookmarkEnd w:id="119"/>
      <w:bookmarkEnd w:id="120"/>
      <w:bookmarkEnd w:id="121"/>
      <w:bookmarkEnd w:id="122"/>
      <w:bookmarkEnd w:id="123"/>
      <w:r>
        <w:rPr>
          <w:rFonts w:ascii="宋体" w:hAnsi="宋体" w:eastAsia="宋体" w:cs="Times New Roman"/>
          <w:b/>
          <w:bCs/>
          <w:color w:val="auto"/>
          <w:kern w:val="2"/>
          <w:sz w:val="24"/>
          <w:szCs w:val="24"/>
          <w:lang w:val="zh-CN" w:eastAsia="zh-CN"/>
        </w:rPr>
        <w:t>和保密义务</w:t>
      </w:r>
      <w:bookmarkEnd w:id="124"/>
      <w:bookmarkEnd w:id="125"/>
      <w:bookmarkEnd w:id="126"/>
    </w:p>
    <w:p w14:paraId="78B4ABB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6.1</w:t>
      </w:r>
      <w:r>
        <w:rPr>
          <w:rFonts w:hint="eastAsia" w:ascii="宋体" w:hAnsi="宋体" w:eastAsia="宋体" w:cs="Times New Roman"/>
          <w:color w:val="auto"/>
          <w:kern w:val="2"/>
          <w:sz w:val="24"/>
          <w:szCs w:val="24"/>
          <w:lang w:eastAsia="zh-CN"/>
        </w:rPr>
        <w:t>乙方有权依据合同约定和项目需要，向甲方了解有关情况，调阅有关资料等，甲方应予积极配合；</w:t>
      </w:r>
    </w:p>
    <w:p w14:paraId="0CD21F2A">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6</w:t>
      </w:r>
      <w:r>
        <w:rPr>
          <w:rFonts w:hint="eastAsia" w:ascii="宋体" w:hAnsi="宋体" w:eastAsia="宋体" w:cs="Times New Roman"/>
          <w:color w:val="auto"/>
          <w:kern w:val="2"/>
          <w:sz w:val="24"/>
          <w:szCs w:val="24"/>
          <w:lang w:eastAsia="zh-CN"/>
        </w:rPr>
        <w:t>.2乙方有义务妥善保管和保护由甲方提供的前款信息和资料等；</w:t>
      </w:r>
    </w:p>
    <w:p w14:paraId="713FC814">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6.</w:t>
      </w:r>
      <w:r>
        <w:rPr>
          <w:rFonts w:hint="eastAsia" w:ascii="宋体" w:hAnsi="宋体" w:eastAsia="宋体" w:cs="Times New Roman"/>
          <w:color w:val="auto"/>
          <w:kern w:val="2"/>
          <w:sz w:val="24"/>
          <w:szCs w:val="24"/>
          <w:lang w:eastAsia="zh-CN"/>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kern w:val="2"/>
          <w:sz w:val="24"/>
          <w:szCs w:val="24"/>
          <w:lang w:eastAsia="zh-CN"/>
        </w:rPr>
        <w:t>技术情报</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技术资料</w:t>
      </w:r>
      <w:r>
        <w:rPr>
          <w:rFonts w:hint="eastAsia" w:ascii="宋体" w:hAnsi="宋体" w:eastAsia="宋体" w:cs="Times New Roman"/>
          <w:color w:val="auto"/>
          <w:kern w:val="2"/>
          <w:sz w:val="24"/>
          <w:szCs w:val="24"/>
          <w:lang w:eastAsia="zh-CN"/>
        </w:rPr>
        <w:t>、商业秘密和商业信息等，并采取一切合理和必要措施和方式防止任何第三方接触到对方当事人的上述保密信息和资料。</w:t>
      </w:r>
    </w:p>
    <w:p w14:paraId="037694D3">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27" w:name="_Toc7860"/>
      <w:r>
        <w:rPr>
          <w:rFonts w:ascii="宋体" w:hAnsi="宋体" w:eastAsia="宋体" w:cs="Times New Roman"/>
          <w:b/>
          <w:bCs/>
          <w:color w:val="auto"/>
          <w:kern w:val="2"/>
          <w:sz w:val="24"/>
          <w:szCs w:val="24"/>
          <w:lang w:val="zh-CN" w:eastAsia="zh-CN"/>
        </w:rPr>
        <w:t>2.7 质量保证</w:t>
      </w:r>
      <w:bookmarkEnd w:id="127"/>
    </w:p>
    <w:p w14:paraId="2D46C26A">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7</w:t>
      </w:r>
      <w:r>
        <w:rPr>
          <w:rFonts w:hint="eastAsia" w:ascii="宋体" w:hAnsi="宋体" w:eastAsia="宋体" w:cs="Times New Roman"/>
          <w:color w:val="auto"/>
          <w:kern w:val="2"/>
          <w:sz w:val="24"/>
          <w:szCs w:val="24"/>
          <w:lang w:eastAsia="zh-CN"/>
        </w:rPr>
        <w:t>.1乙方应建立和完善履行合同的内部质量保证体系，并提供相关内部规章制度给甲方，以便甲方进行监督检查；</w:t>
      </w:r>
    </w:p>
    <w:p w14:paraId="2CBA3EB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7</w:t>
      </w:r>
      <w:r>
        <w:rPr>
          <w:rFonts w:hint="eastAsia" w:ascii="宋体" w:hAnsi="宋体" w:eastAsia="宋体" w:cs="Times New Roman"/>
          <w:color w:val="auto"/>
          <w:kern w:val="2"/>
          <w:sz w:val="24"/>
          <w:szCs w:val="24"/>
          <w:lang w:eastAsia="zh-CN"/>
        </w:rPr>
        <w:t>.2乙方应保证履行合同的人员数量和素质、软件和硬件设备的配置、场地、环境和设施等满足全面履行合同的要求，并应接受甲方的监督检查。</w:t>
      </w:r>
    </w:p>
    <w:p w14:paraId="4C624F1B">
      <w:pPr>
        <w:spacing w:after="0" w:line="360" w:lineRule="auto"/>
        <w:ind w:firstLine="437"/>
        <w:jc w:val="both"/>
        <w:outlineLvl w:val="2"/>
        <w:rPr>
          <w:rFonts w:ascii="宋体" w:hAnsi="宋体" w:eastAsia="宋体" w:cs="Times New Roman"/>
          <w:b/>
          <w:color w:val="auto"/>
          <w:kern w:val="2"/>
          <w:sz w:val="24"/>
          <w:szCs w:val="24"/>
          <w:lang w:eastAsia="zh-CN"/>
        </w:rPr>
      </w:pPr>
      <w:bookmarkStart w:id="128" w:name="_Toc22267"/>
      <w:r>
        <w:rPr>
          <w:rFonts w:hint="eastAsia" w:ascii="宋体" w:hAnsi="宋体" w:eastAsia="宋体" w:cs="Times New Roman"/>
          <w:b/>
          <w:color w:val="auto"/>
          <w:kern w:val="2"/>
          <w:sz w:val="24"/>
          <w:szCs w:val="24"/>
          <w:lang w:eastAsia="zh-CN"/>
        </w:rPr>
        <w:t>2.8 延迟履行</w:t>
      </w:r>
      <w:bookmarkEnd w:id="128"/>
    </w:p>
    <w:p w14:paraId="2D525866">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在合同履行过程中，如果乙方遇到不能按时</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的情况，应及时以书面形式将不能按时</w:t>
      </w:r>
      <w:r>
        <w:rPr>
          <w:rFonts w:hint="eastAsia" w:ascii="宋体" w:hAnsi="宋体" w:eastAsia="宋体" w:cs="Times New Roman"/>
          <w:color w:val="auto"/>
          <w:kern w:val="2"/>
          <w:sz w:val="24"/>
          <w:szCs w:val="24"/>
          <w:lang w:eastAsia="zh-CN"/>
        </w:rPr>
        <w:t>提供服务</w:t>
      </w:r>
      <w:r>
        <w:rPr>
          <w:rFonts w:ascii="宋体" w:hAnsi="宋体" w:eastAsia="宋体" w:cs="Times New Roman"/>
          <w:color w:val="auto"/>
          <w:kern w:val="2"/>
          <w:sz w:val="24"/>
          <w:szCs w:val="24"/>
          <w:lang w:eastAsia="zh-CN"/>
        </w:rPr>
        <w:t>的理由、预期延误时间通知甲方</w:t>
      </w:r>
      <w:r>
        <w:rPr>
          <w:rFonts w:hint="eastAsia" w:ascii="宋体" w:hAnsi="宋体" w:eastAsia="宋体" w:cs="Times New Roman"/>
          <w:color w:val="auto"/>
          <w:kern w:val="2"/>
          <w:sz w:val="24"/>
          <w:szCs w:val="24"/>
          <w:lang w:eastAsia="zh-CN"/>
        </w:rPr>
        <w:t>；甲</w:t>
      </w:r>
      <w:r>
        <w:rPr>
          <w:rFonts w:ascii="宋体" w:hAnsi="宋体" w:eastAsia="宋体" w:cs="Times New Roman"/>
          <w:color w:val="auto"/>
          <w:kern w:val="2"/>
          <w:sz w:val="24"/>
          <w:szCs w:val="24"/>
          <w:lang w:eastAsia="zh-CN"/>
        </w:rPr>
        <w:t>方收到乙方通知后，认为其理由正当的，可以书面形式酌情同意乙方可以延长</w:t>
      </w:r>
      <w:r>
        <w:rPr>
          <w:rFonts w:hint="eastAsia" w:ascii="宋体" w:hAnsi="宋体" w:eastAsia="宋体" w:cs="Times New Roman"/>
          <w:color w:val="auto"/>
          <w:kern w:val="2"/>
          <w:sz w:val="24"/>
          <w:szCs w:val="24"/>
          <w:lang w:eastAsia="zh-CN"/>
        </w:rPr>
        <w:t>履行</w:t>
      </w:r>
      <w:r>
        <w:rPr>
          <w:rFonts w:ascii="宋体" w:hAnsi="宋体" w:eastAsia="宋体" w:cs="Times New Roman"/>
          <w:color w:val="auto"/>
          <w:kern w:val="2"/>
          <w:sz w:val="24"/>
          <w:szCs w:val="24"/>
          <w:lang w:eastAsia="zh-CN"/>
        </w:rPr>
        <w:t>的具体时间。</w:t>
      </w:r>
    </w:p>
    <w:p w14:paraId="2A903023">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29" w:name="_Toc7502"/>
      <w:bookmarkStart w:id="130" w:name="_Ref467378121"/>
      <w:bookmarkStart w:id="131" w:name="_Toc279701254"/>
      <w:bookmarkStart w:id="132" w:name="_Toc487900364"/>
      <w:bookmarkStart w:id="133" w:name="_Toc259093683"/>
      <w:r>
        <w:rPr>
          <w:rFonts w:ascii="宋体" w:hAnsi="宋体" w:eastAsia="宋体" w:cs="Times New Roman"/>
          <w:b/>
          <w:bCs/>
          <w:color w:val="auto"/>
          <w:kern w:val="2"/>
          <w:sz w:val="24"/>
          <w:szCs w:val="24"/>
          <w:lang w:val="zh-CN" w:eastAsia="zh-CN"/>
        </w:rPr>
        <w:t>2.9 合同变更</w:t>
      </w:r>
      <w:bookmarkEnd w:id="129"/>
    </w:p>
    <w:p w14:paraId="17811BE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9</w:t>
      </w:r>
      <w:r>
        <w:rPr>
          <w:rFonts w:hint="eastAsia" w:ascii="宋体" w:hAnsi="宋体" w:eastAsia="宋体" w:cs="Times New Roman"/>
          <w:color w:val="auto"/>
          <w:kern w:val="2"/>
          <w:sz w:val="24"/>
          <w:szCs w:val="24"/>
          <w:lang w:eastAsia="zh-CN"/>
        </w:rPr>
        <w:t>.1双方当事人协商一致，可以签订书面补充合同的形式变更合同，但不得违背采购文件确定的事项；</w:t>
      </w:r>
    </w:p>
    <w:p w14:paraId="3D3F8CF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9</w:t>
      </w:r>
      <w:r>
        <w:rPr>
          <w:rFonts w:hint="eastAsia" w:ascii="宋体" w:hAnsi="宋体" w:eastAsia="宋体" w:cs="Times New Roman"/>
          <w:color w:val="auto"/>
          <w:kern w:val="2"/>
          <w:sz w:val="24"/>
          <w:szCs w:val="24"/>
          <w:lang w:eastAsia="zh-CN"/>
        </w:rPr>
        <w:t>.2合同继续履行将损害国家利益和社会公共利益的，双方当事人应当以书面形式变更合同。有过错的一方应当承担赔偿责任，双方当事人都有过错的，各自承担相应的责任。</w:t>
      </w:r>
      <w:bookmarkStart w:id="134" w:name="_Toc279701259"/>
      <w:bookmarkStart w:id="135" w:name="_Toc259093688"/>
      <w:bookmarkStart w:id="136" w:name="_Toc487900369"/>
    </w:p>
    <w:p w14:paraId="0E7C828F">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37" w:name="_Toc10366"/>
      <w:bookmarkStart w:id="138" w:name="_Toc22955"/>
      <w:bookmarkStart w:id="139" w:name="_Toc15237"/>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0</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合同转让</w:t>
      </w:r>
      <w:bookmarkEnd w:id="134"/>
      <w:bookmarkEnd w:id="135"/>
      <w:bookmarkEnd w:id="136"/>
      <w:r>
        <w:rPr>
          <w:rFonts w:ascii="宋体" w:hAnsi="宋体" w:eastAsia="宋体" w:cs="Times New Roman"/>
          <w:b/>
          <w:bCs/>
          <w:color w:val="auto"/>
          <w:kern w:val="2"/>
          <w:sz w:val="24"/>
          <w:szCs w:val="24"/>
          <w:lang w:val="zh-CN" w:eastAsia="zh-CN"/>
        </w:rPr>
        <w:t>和分包</w:t>
      </w:r>
      <w:bookmarkEnd w:id="137"/>
      <w:bookmarkEnd w:id="138"/>
      <w:bookmarkEnd w:id="139"/>
    </w:p>
    <w:p w14:paraId="770AA625">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合同的权利义务依法不</w:t>
      </w:r>
      <w:r>
        <w:rPr>
          <w:rFonts w:hint="eastAsia" w:ascii="宋体" w:hAnsi="宋体" w:eastAsia="宋体" w:cs="Times New Roman"/>
          <w:color w:val="auto"/>
          <w:kern w:val="2"/>
          <w:sz w:val="24"/>
          <w:szCs w:val="24"/>
          <w:lang w:eastAsia="zh-CN"/>
        </w:rPr>
        <w:t>得</w:t>
      </w:r>
      <w:r>
        <w:rPr>
          <w:rFonts w:ascii="宋体" w:hAnsi="宋体" w:eastAsia="宋体" w:cs="Times New Roman"/>
          <w:color w:val="auto"/>
          <w:kern w:val="2"/>
          <w:sz w:val="24"/>
          <w:szCs w:val="24"/>
          <w:lang w:eastAsia="zh-CN"/>
        </w:rPr>
        <w:t>转让</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但经甲方</w:t>
      </w:r>
      <w:r>
        <w:rPr>
          <w:rFonts w:hint="eastAsia" w:ascii="宋体" w:hAnsi="宋体" w:eastAsia="宋体" w:cs="Times New Roman"/>
          <w:color w:val="auto"/>
          <w:kern w:val="2"/>
          <w:sz w:val="24"/>
          <w:szCs w:val="24"/>
          <w:lang w:eastAsia="zh-CN"/>
        </w:rPr>
        <w:t>同意，乙方可以依法采取分包方式履行合同，即：依法可以</w:t>
      </w:r>
      <w:r>
        <w:rPr>
          <w:rFonts w:ascii="宋体" w:hAnsi="宋体" w:eastAsia="宋体" w:cs="Times New Roman"/>
          <w:color w:val="auto"/>
          <w:kern w:val="2"/>
          <w:sz w:val="24"/>
          <w:szCs w:val="24"/>
          <w:lang w:eastAsia="zh-CN"/>
        </w:rPr>
        <w:t>将合同项下的部分非主体、非关键性工作分包给他人完成</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接受分包的人应当具备相应的资格条件，并不得再次分包</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且乙方应就分包项目向甲方负责</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并</w:t>
      </w:r>
      <w:r>
        <w:rPr>
          <w:rFonts w:hint="eastAsia" w:ascii="宋体" w:hAnsi="宋体" w:eastAsia="宋体" w:cs="Times New Roman"/>
          <w:color w:val="auto"/>
          <w:kern w:val="2"/>
          <w:sz w:val="24"/>
          <w:szCs w:val="24"/>
          <w:lang w:eastAsia="zh-CN"/>
        </w:rPr>
        <w:t>与分包供应商就分包项目向甲方承担连带责任。</w:t>
      </w:r>
    </w:p>
    <w:p w14:paraId="7D5A6096">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40" w:name="_Toc14066"/>
      <w:bookmarkStart w:id="141" w:name="_Toc16508"/>
      <w:bookmarkStart w:id="142" w:name="_Toc13566"/>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1 不可抗力</w:t>
      </w:r>
      <w:bookmarkEnd w:id="140"/>
      <w:bookmarkEnd w:id="141"/>
      <w:bookmarkEnd w:id="142"/>
    </w:p>
    <w:p w14:paraId="0337510B">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kern w:val="2"/>
          <w:sz w:val="24"/>
          <w:szCs w:val="24"/>
          <w:lang w:eastAsia="zh-CN"/>
        </w:rPr>
        <w:t>；</w:t>
      </w:r>
    </w:p>
    <w:p w14:paraId="39E63C52">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.2因不可抗力致使不能实现合同目的的，当事人可以解除合同；</w:t>
      </w:r>
    </w:p>
    <w:p w14:paraId="33953CE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.3因</w:t>
      </w:r>
      <w:r>
        <w:rPr>
          <w:rFonts w:ascii="宋体" w:hAnsi="宋体" w:eastAsia="宋体" w:cs="Times New Roman"/>
          <w:color w:val="auto"/>
          <w:kern w:val="2"/>
          <w:sz w:val="24"/>
          <w:szCs w:val="24"/>
          <w:lang w:eastAsia="zh-CN"/>
        </w:rPr>
        <w:t>不可抗力致使合同有变更必要的，双方当事人应在</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约定时间内以书面形式变更合同</w:t>
      </w:r>
      <w:r>
        <w:rPr>
          <w:rFonts w:hint="eastAsia" w:ascii="宋体" w:hAnsi="宋体" w:eastAsia="宋体" w:cs="Times New Roman"/>
          <w:color w:val="auto"/>
          <w:kern w:val="2"/>
          <w:sz w:val="24"/>
          <w:szCs w:val="24"/>
          <w:lang w:eastAsia="zh-CN"/>
        </w:rPr>
        <w:t>；</w:t>
      </w:r>
    </w:p>
    <w:p w14:paraId="3D13DD87">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4</w:t>
      </w:r>
      <w:r>
        <w:rPr>
          <w:rFonts w:ascii="宋体" w:hAnsi="宋体" w:eastAsia="宋体" w:cs="Times New Roman"/>
          <w:color w:val="auto"/>
          <w:kern w:val="2"/>
          <w:sz w:val="24"/>
          <w:szCs w:val="24"/>
          <w:lang w:eastAsia="zh-CN"/>
        </w:rPr>
        <w:t>受</w:t>
      </w:r>
      <w:r>
        <w:rPr>
          <w:rFonts w:hint="eastAsia" w:ascii="宋体" w:hAnsi="宋体" w:eastAsia="宋体" w:cs="Times New Roman"/>
          <w:color w:val="auto"/>
          <w:kern w:val="2"/>
          <w:sz w:val="24"/>
          <w:szCs w:val="24"/>
          <w:lang w:eastAsia="zh-CN"/>
        </w:rPr>
        <w:t>不可抗力</w:t>
      </w:r>
      <w:r>
        <w:rPr>
          <w:rFonts w:ascii="宋体" w:hAnsi="宋体" w:eastAsia="宋体" w:cs="Times New Roman"/>
          <w:color w:val="auto"/>
          <w:kern w:val="2"/>
          <w:sz w:val="24"/>
          <w:szCs w:val="24"/>
          <w:lang w:eastAsia="zh-CN"/>
        </w:rPr>
        <w:t>影响的一方在不可抗力发生后</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应在</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约定时间内以书面形式通知</w:t>
      </w:r>
      <w:r>
        <w:rPr>
          <w:rFonts w:hint="eastAsia" w:ascii="宋体" w:hAnsi="宋体" w:eastAsia="宋体" w:cs="Times New Roman"/>
          <w:color w:val="auto"/>
          <w:kern w:val="2"/>
          <w:sz w:val="24"/>
          <w:szCs w:val="24"/>
          <w:lang w:eastAsia="zh-CN"/>
        </w:rPr>
        <w:t>对</w:t>
      </w:r>
      <w:r>
        <w:rPr>
          <w:rFonts w:ascii="宋体" w:hAnsi="宋体" w:eastAsia="宋体" w:cs="Times New Roman"/>
          <w:color w:val="auto"/>
          <w:kern w:val="2"/>
          <w:sz w:val="24"/>
          <w:szCs w:val="24"/>
          <w:lang w:eastAsia="zh-CN"/>
        </w:rPr>
        <w:t>方当事人，并在</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约定时间内，将有关部门出具的证明文件送达</w:t>
      </w:r>
      <w:r>
        <w:rPr>
          <w:rFonts w:hint="eastAsia" w:ascii="宋体" w:hAnsi="宋体" w:eastAsia="宋体" w:cs="Times New Roman"/>
          <w:color w:val="auto"/>
          <w:kern w:val="2"/>
          <w:sz w:val="24"/>
          <w:szCs w:val="24"/>
          <w:lang w:eastAsia="zh-CN"/>
        </w:rPr>
        <w:t>对方当事人</w:t>
      </w:r>
      <w:r>
        <w:rPr>
          <w:rFonts w:ascii="宋体" w:hAnsi="宋体" w:eastAsia="宋体" w:cs="Times New Roman"/>
          <w:color w:val="auto"/>
          <w:kern w:val="2"/>
          <w:sz w:val="24"/>
          <w:szCs w:val="24"/>
          <w:lang w:eastAsia="zh-CN"/>
        </w:rPr>
        <w:t>。</w:t>
      </w:r>
    </w:p>
    <w:p w14:paraId="2B0AD835">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43" w:name="_Toc6969"/>
      <w:bookmarkStart w:id="144" w:name="_Toc30676"/>
      <w:bookmarkStart w:id="145" w:name="_Toc487900365"/>
      <w:bookmarkStart w:id="146" w:name="_Toc279701255"/>
      <w:bookmarkStart w:id="147" w:name="_Toc689"/>
      <w:bookmarkStart w:id="148" w:name="_Toc259093684"/>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12</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税费</w:t>
      </w:r>
      <w:bookmarkEnd w:id="143"/>
      <w:bookmarkEnd w:id="144"/>
      <w:bookmarkEnd w:id="145"/>
      <w:bookmarkEnd w:id="146"/>
      <w:bookmarkEnd w:id="147"/>
      <w:bookmarkEnd w:id="148"/>
    </w:p>
    <w:p w14:paraId="79B4DD8D">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与合同有关的一切税费</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均按照中华人民共和国法律的相关规定</w:t>
      </w:r>
      <w:r>
        <w:rPr>
          <w:rFonts w:hint="eastAsia" w:ascii="宋体" w:hAnsi="宋体" w:eastAsia="宋体" w:cs="Times New Roman"/>
          <w:color w:val="auto"/>
          <w:kern w:val="2"/>
          <w:sz w:val="24"/>
          <w:szCs w:val="24"/>
          <w:lang w:eastAsia="zh-CN"/>
        </w:rPr>
        <w:t>缴纳</w:t>
      </w:r>
      <w:r>
        <w:rPr>
          <w:rFonts w:ascii="宋体" w:hAnsi="宋体" w:eastAsia="宋体" w:cs="Times New Roman"/>
          <w:color w:val="auto"/>
          <w:kern w:val="2"/>
          <w:sz w:val="24"/>
          <w:szCs w:val="24"/>
          <w:lang w:eastAsia="zh-CN"/>
        </w:rPr>
        <w:t>。</w:t>
      </w:r>
    </w:p>
    <w:p w14:paraId="567D721F">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49" w:name="_Toc259093687"/>
      <w:bookmarkStart w:id="150" w:name="_Toc487900368"/>
      <w:bookmarkStart w:id="151" w:name="_Toc279701258"/>
      <w:bookmarkStart w:id="152" w:name="_Toc8298"/>
      <w:bookmarkStart w:id="153" w:name="_Toc16959"/>
      <w:bookmarkStart w:id="154" w:name="_Toc7102"/>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13</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乙方破产</w:t>
      </w:r>
      <w:bookmarkEnd w:id="149"/>
      <w:bookmarkEnd w:id="150"/>
      <w:bookmarkEnd w:id="151"/>
      <w:bookmarkEnd w:id="152"/>
      <w:bookmarkEnd w:id="153"/>
      <w:bookmarkEnd w:id="154"/>
    </w:p>
    <w:p w14:paraId="3FC77E3F">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如果乙方破产导致合同无法履行时，甲方可以书面形式通知乙方终止合同且不给予乙方任何补偿和赔偿</w:t>
      </w:r>
      <w:r>
        <w:rPr>
          <w:rFonts w:hint="eastAsia" w:ascii="宋体" w:hAnsi="宋体" w:eastAsia="宋体" w:cs="Times New Roman"/>
          <w:color w:val="auto"/>
          <w:kern w:val="2"/>
          <w:sz w:val="24"/>
          <w:szCs w:val="24"/>
          <w:lang w:eastAsia="zh-CN"/>
        </w:rPr>
        <w:t>，但合同的</w:t>
      </w:r>
      <w:r>
        <w:rPr>
          <w:rFonts w:ascii="宋体" w:hAnsi="宋体" w:eastAsia="宋体" w:cs="Times New Roman"/>
          <w:color w:val="auto"/>
          <w:kern w:val="2"/>
          <w:sz w:val="24"/>
          <w:szCs w:val="24"/>
          <w:lang w:eastAsia="zh-CN"/>
        </w:rPr>
        <w:t>终止不损害或不影响甲方已经采取或将要采取的任何要求乙方支付违约金</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赔偿损失等的行动或补救措施的权利</w:t>
      </w:r>
      <w:r>
        <w:rPr>
          <w:rFonts w:hint="eastAsia" w:ascii="宋体" w:hAnsi="宋体" w:eastAsia="宋体" w:cs="Times New Roman"/>
          <w:color w:val="auto"/>
          <w:kern w:val="2"/>
          <w:sz w:val="24"/>
          <w:szCs w:val="24"/>
          <w:lang w:eastAsia="zh-CN"/>
        </w:rPr>
        <w:t>。</w:t>
      </w:r>
    </w:p>
    <w:p w14:paraId="1319A84F">
      <w:pPr>
        <w:spacing w:after="0" w:line="360" w:lineRule="auto"/>
        <w:ind w:firstLine="437"/>
        <w:jc w:val="both"/>
        <w:outlineLvl w:val="2"/>
        <w:rPr>
          <w:rFonts w:ascii="宋体" w:hAnsi="宋体" w:eastAsia="宋体" w:cs="Times New Roman"/>
          <w:b/>
          <w:color w:val="auto"/>
          <w:kern w:val="2"/>
          <w:sz w:val="24"/>
          <w:szCs w:val="24"/>
          <w:lang w:eastAsia="zh-CN"/>
        </w:rPr>
      </w:pPr>
      <w:bookmarkStart w:id="155" w:name="_Toc29333"/>
      <w:bookmarkStart w:id="156" w:name="_Toc15387"/>
      <w:bookmarkStart w:id="157" w:name="_Toc6134"/>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4</w:t>
      </w:r>
      <w:r>
        <w:rPr>
          <w:rFonts w:hint="eastAsia" w:ascii="宋体" w:hAnsi="宋体" w:eastAsia="宋体" w:cs="Times New Roman"/>
          <w:b/>
          <w:bCs/>
          <w:color w:val="auto"/>
          <w:kern w:val="2"/>
          <w:sz w:val="24"/>
          <w:szCs w:val="24"/>
          <w:lang w:val="zh-CN" w:eastAsia="zh-CN"/>
        </w:rPr>
        <w:t xml:space="preserve"> 合同中止、终止</w:t>
      </w:r>
      <w:bookmarkEnd w:id="155"/>
      <w:bookmarkEnd w:id="156"/>
      <w:bookmarkEnd w:id="157"/>
    </w:p>
    <w:p w14:paraId="42AB68D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4</w:t>
      </w:r>
      <w:r>
        <w:rPr>
          <w:rFonts w:hint="eastAsia" w:ascii="宋体" w:hAnsi="宋体" w:eastAsia="宋体" w:cs="Times New Roman"/>
          <w:color w:val="auto"/>
          <w:kern w:val="2"/>
          <w:sz w:val="24"/>
          <w:szCs w:val="24"/>
          <w:lang w:eastAsia="zh-CN"/>
        </w:rPr>
        <w:t>.1双方当事人不得擅自中止或者终止合同；</w:t>
      </w:r>
    </w:p>
    <w:p w14:paraId="6721029D">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w:t>
      </w:r>
      <w:r>
        <w:rPr>
          <w:rFonts w:ascii="宋体" w:hAnsi="宋体" w:eastAsia="宋体" w:cs="Times New Roman"/>
          <w:color w:val="auto"/>
          <w:kern w:val="2"/>
          <w:sz w:val="24"/>
          <w:szCs w:val="24"/>
          <w:lang w:eastAsia="zh-CN"/>
        </w:rPr>
        <w:t>4</w:t>
      </w:r>
      <w:r>
        <w:rPr>
          <w:rFonts w:hint="eastAsia" w:ascii="宋体" w:hAnsi="宋体" w:eastAsia="宋体" w:cs="Times New Roman"/>
          <w:color w:val="auto"/>
          <w:kern w:val="2"/>
          <w:sz w:val="24"/>
          <w:szCs w:val="24"/>
          <w:lang w:eastAsia="zh-CN"/>
        </w:rPr>
        <w:t>.2合同继续履行将损害国家利益和社会公共利益的，双方当事人应当中止或者终止合同。有过错的一方应当承担赔偿责任，双方当事人都有过错的，各自承担相应的责任。</w:t>
      </w:r>
    </w:p>
    <w:p w14:paraId="1D2B172C">
      <w:pPr>
        <w:spacing w:after="0" w:line="360" w:lineRule="auto"/>
        <w:ind w:firstLine="437"/>
        <w:jc w:val="both"/>
        <w:outlineLvl w:val="2"/>
        <w:rPr>
          <w:rFonts w:ascii="宋体" w:hAnsi="宋体" w:eastAsia="宋体" w:cs="Times New Roman"/>
          <w:b/>
          <w:bCs/>
          <w:color w:val="auto"/>
          <w:kern w:val="2"/>
          <w:sz w:val="24"/>
          <w:szCs w:val="24"/>
          <w:lang w:val="zh-CN" w:eastAsia="zh-CN"/>
        </w:rPr>
      </w:pPr>
      <w:bookmarkStart w:id="158" w:name="_Toc1125"/>
      <w:bookmarkStart w:id="159" w:name="_Toc6596"/>
      <w:bookmarkStart w:id="160" w:name="_Toc14563"/>
      <w:r>
        <w:rPr>
          <w:rFonts w:hint="eastAsia" w:ascii="宋体" w:hAnsi="宋体" w:eastAsia="宋体" w:cs="Times New Roman"/>
          <w:b/>
          <w:bCs/>
          <w:color w:val="auto"/>
          <w:kern w:val="2"/>
          <w:sz w:val="24"/>
          <w:szCs w:val="24"/>
          <w:lang w:val="zh-CN" w:eastAsia="zh-CN"/>
        </w:rPr>
        <w:t>2.1</w:t>
      </w:r>
      <w:r>
        <w:rPr>
          <w:rFonts w:ascii="宋体" w:hAnsi="宋体" w:eastAsia="宋体" w:cs="Times New Roman"/>
          <w:b/>
          <w:bCs/>
          <w:color w:val="auto"/>
          <w:kern w:val="2"/>
          <w:sz w:val="24"/>
          <w:szCs w:val="24"/>
          <w:lang w:val="zh-CN" w:eastAsia="zh-CN"/>
        </w:rPr>
        <w:t>5</w:t>
      </w:r>
      <w:r>
        <w:rPr>
          <w:rFonts w:hint="eastAsia" w:ascii="宋体" w:hAnsi="宋体" w:eastAsia="宋体" w:cs="Times New Roman"/>
          <w:b/>
          <w:bCs/>
          <w:color w:val="auto"/>
          <w:kern w:val="2"/>
          <w:sz w:val="24"/>
          <w:szCs w:val="24"/>
          <w:lang w:val="zh-CN" w:eastAsia="zh-CN"/>
        </w:rPr>
        <w:t xml:space="preserve"> 检验和验收</w:t>
      </w:r>
      <w:bookmarkEnd w:id="158"/>
      <w:bookmarkEnd w:id="159"/>
      <w:bookmarkEnd w:id="160"/>
    </w:p>
    <w:p w14:paraId="32B54790">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w:t>
      </w:r>
      <w:r>
        <w:rPr>
          <w:rFonts w:hint="eastAsia" w:ascii="宋体" w:hAnsi="宋体" w:eastAsia="宋体" w:cs="Times New Roman"/>
          <w:color w:val="auto"/>
          <w:kern w:val="2"/>
          <w:sz w:val="24"/>
          <w:szCs w:val="24"/>
          <w:lang w:eastAsia="zh-CN"/>
        </w:rPr>
        <w:t>5</w:t>
      </w:r>
      <w:r>
        <w:rPr>
          <w:rFonts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eastAsia="zh-CN"/>
        </w:rPr>
        <w:t>1乙方按照</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的约定</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定期提交服务报告</w:t>
      </w:r>
      <w:r>
        <w:rPr>
          <w:rFonts w:hint="eastAsia" w:ascii="宋体" w:hAnsi="宋体" w:eastAsia="宋体" w:cs="Times New Roman"/>
          <w:color w:val="auto"/>
          <w:kern w:val="2"/>
          <w:sz w:val="24"/>
          <w:szCs w:val="24"/>
          <w:lang w:eastAsia="zh-CN"/>
        </w:rPr>
        <w:t>，甲方按照</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的约定进行定期验收</w:t>
      </w:r>
      <w:r>
        <w:rPr>
          <w:rFonts w:hint="eastAsia" w:ascii="宋体" w:hAnsi="宋体" w:eastAsia="宋体" w:cs="Times New Roman"/>
          <w:color w:val="auto"/>
          <w:kern w:val="2"/>
          <w:sz w:val="24"/>
          <w:szCs w:val="24"/>
          <w:lang w:eastAsia="zh-CN"/>
        </w:rPr>
        <w:t>；</w:t>
      </w:r>
    </w:p>
    <w:p w14:paraId="66398A84">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60FB0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2.15.3检验和验收标准、程序等具体内容以及前述验收书的效力详见</w:t>
      </w:r>
      <w:r>
        <w:rPr>
          <w:rFonts w:ascii="宋体" w:hAnsi="宋体" w:eastAsia="宋体" w:cs="Times New Roman"/>
          <w:b/>
          <w:i/>
          <w:color w:val="auto"/>
          <w:kern w:val="2"/>
          <w:sz w:val="24"/>
          <w:szCs w:val="24"/>
          <w:u w:val="single"/>
          <w:lang w:eastAsia="zh-CN"/>
        </w:rPr>
        <w:t>合同专用条款</w:t>
      </w:r>
      <w:r>
        <w:rPr>
          <w:rFonts w:hint="eastAsia" w:ascii="宋体" w:hAnsi="宋体" w:eastAsia="宋体" w:cs="Times New Roman"/>
          <w:i/>
          <w:color w:val="auto"/>
          <w:kern w:val="2"/>
          <w:sz w:val="24"/>
          <w:szCs w:val="24"/>
          <w:lang w:eastAsia="zh-CN"/>
        </w:rPr>
        <w:t>。</w:t>
      </w:r>
    </w:p>
    <w:bookmarkEnd w:id="130"/>
    <w:bookmarkEnd w:id="131"/>
    <w:bookmarkEnd w:id="132"/>
    <w:bookmarkEnd w:id="133"/>
    <w:p w14:paraId="0D8EC21C">
      <w:pPr>
        <w:spacing w:after="0" w:line="360" w:lineRule="auto"/>
        <w:ind w:firstLine="437"/>
        <w:jc w:val="both"/>
        <w:outlineLvl w:val="2"/>
        <w:rPr>
          <w:rFonts w:ascii="宋体" w:hAnsi="宋体" w:eastAsia="宋体" w:cs="Times New Roman"/>
          <w:b/>
          <w:bCs/>
          <w:color w:val="auto"/>
          <w:kern w:val="2"/>
          <w:sz w:val="24"/>
          <w:szCs w:val="24"/>
          <w:lang w:eastAsia="zh-CN"/>
        </w:rPr>
      </w:pPr>
      <w:bookmarkStart w:id="161" w:name="_Toc10330"/>
      <w:bookmarkStart w:id="162" w:name="_Toc279701263"/>
      <w:bookmarkStart w:id="163" w:name="_Toc18567"/>
      <w:bookmarkStart w:id="164" w:name="_Toc12773"/>
      <w:bookmarkStart w:id="165" w:name="_Toc487900373"/>
      <w:bookmarkStart w:id="166" w:name="_Toc259093692"/>
      <w:r>
        <w:rPr>
          <w:rFonts w:hint="eastAsia" w:ascii="宋体" w:hAnsi="宋体" w:eastAsia="宋体" w:cs="Times New Roman"/>
          <w:b/>
          <w:bCs/>
          <w:color w:val="auto"/>
          <w:kern w:val="2"/>
          <w:sz w:val="24"/>
          <w:szCs w:val="24"/>
          <w:lang w:eastAsia="zh-CN"/>
        </w:rPr>
        <w:t>2.</w:t>
      </w:r>
      <w:r>
        <w:rPr>
          <w:rFonts w:ascii="宋体" w:hAnsi="宋体" w:eastAsia="宋体" w:cs="Times New Roman"/>
          <w:b/>
          <w:bCs/>
          <w:color w:val="auto"/>
          <w:kern w:val="2"/>
          <w:sz w:val="24"/>
          <w:szCs w:val="24"/>
          <w:lang w:eastAsia="zh-CN"/>
        </w:rPr>
        <w:t>16</w:t>
      </w:r>
      <w:r>
        <w:rPr>
          <w:rFonts w:hint="eastAsia" w:ascii="宋体" w:hAnsi="宋体" w:eastAsia="宋体" w:cs="Times New Roman"/>
          <w:b/>
          <w:bCs/>
          <w:color w:val="auto"/>
          <w:kern w:val="2"/>
          <w:sz w:val="24"/>
          <w:szCs w:val="24"/>
          <w:lang w:eastAsia="zh-CN"/>
        </w:rPr>
        <w:t xml:space="preserve"> </w:t>
      </w:r>
      <w:r>
        <w:rPr>
          <w:rFonts w:hint="eastAsia" w:ascii="宋体" w:hAnsi="宋体" w:eastAsia="宋体" w:cs="Times New Roman"/>
          <w:b/>
          <w:bCs/>
          <w:color w:val="auto"/>
          <w:kern w:val="2"/>
          <w:sz w:val="24"/>
          <w:szCs w:val="24"/>
          <w:lang w:val="zh-CN" w:eastAsia="zh-CN"/>
        </w:rPr>
        <w:t>合同使用的文字和</w:t>
      </w:r>
      <w:r>
        <w:rPr>
          <w:rFonts w:ascii="宋体" w:hAnsi="宋体" w:eastAsia="宋体" w:cs="Times New Roman"/>
          <w:b/>
          <w:bCs/>
          <w:color w:val="auto"/>
          <w:kern w:val="2"/>
          <w:sz w:val="24"/>
          <w:szCs w:val="24"/>
          <w:lang w:val="zh-CN" w:eastAsia="zh-CN"/>
        </w:rPr>
        <w:t>适用的法律</w:t>
      </w:r>
      <w:bookmarkEnd w:id="161"/>
      <w:bookmarkEnd w:id="162"/>
      <w:bookmarkEnd w:id="163"/>
      <w:bookmarkEnd w:id="164"/>
      <w:bookmarkEnd w:id="165"/>
      <w:bookmarkEnd w:id="166"/>
    </w:p>
    <w:p w14:paraId="53C71E26">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16.1合同使用汉语书就</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变更和解释</w:t>
      </w:r>
      <w:r>
        <w:rPr>
          <w:rFonts w:hint="eastAsia" w:ascii="宋体" w:hAnsi="宋体" w:eastAsia="宋体" w:cs="Times New Roman"/>
          <w:color w:val="auto"/>
          <w:kern w:val="2"/>
          <w:sz w:val="24"/>
          <w:szCs w:val="24"/>
          <w:lang w:eastAsia="zh-CN"/>
        </w:rPr>
        <w:t>；</w:t>
      </w:r>
    </w:p>
    <w:p w14:paraId="1C2EC413">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16</w:t>
      </w:r>
      <w:r>
        <w:rPr>
          <w:rFonts w:hint="eastAsia" w:ascii="宋体" w:hAnsi="宋体" w:eastAsia="宋体" w:cs="Times New Roman"/>
          <w:color w:val="auto"/>
          <w:kern w:val="2"/>
          <w:sz w:val="24"/>
          <w:szCs w:val="24"/>
          <w:lang w:eastAsia="zh-CN"/>
        </w:rPr>
        <w:t>.2合同适用</w:t>
      </w:r>
      <w:r>
        <w:rPr>
          <w:rFonts w:ascii="宋体" w:hAnsi="宋体" w:eastAsia="宋体" w:cs="Times New Roman"/>
          <w:color w:val="auto"/>
          <w:kern w:val="2"/>
          <w:sz w:val="24"/>
          <w:szCs w:val="24"/>
          <w:lang w:eastAsia="zh-CN"/>
        </w:rPr>
        <w:t>中华人民共和国法律。</w:t>
      </w:r>
    </w:p>
    <w:p w14:paraId="40234619">
      <w:pPr>
        <w:spacing w:after="0" w:line="360" w:lineRule="auto"/>
        <w:ind w:firstLine="437"/>
        <w:jc w:val="both"/>
        <w:outlineLvl w:val="2"/>
        <w:rPr>
          <w:rFonts w:ascii="宋体" w:hAnsi="宋体" w:eastAsia="宋体" w:cs="Times New Roman"/>
          <w:b/>
          <w:color w:val="auto"/>
          <w:kern w:val="2"/>
          <w:sz w:val="24"/>
          <w:szCs w:val="24"/>
          <w:lang w:eastAsia="zh-CN"/>
        </w:rPr>
      </w:pPr>
      <w:bookmarkStart w:id="167" w:name="_Toc259093693"/>
      <w:bookmarkStart w:id="168" w:name="_Toc12004"/>
      <w:bookmarkStart w:id="169" w:name="_Toc279701264"/>
      <w:bookmarkStart w:id="170" w:name="_Toc3148"/>
      <w:bookmarkStart w:id="171" w:name="_Toc16673"/>
      <w:bookmarkStart w:id="172" w:name="_Toc487900374"/>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17</w:t>
      </w:r>
      <w:r>
        <w:rPr>
          <w:rFonts w:hint="eastAsia" w:ascii="宋体" w:hAnsi="宋体" w:eastAsia="宋体" w:cs="Times New Roman"/>
          <w:b/>
          <w:bCs/>
          <w:color w:val="auto"/>
          <w:kern w:val="2"/>
          <w:sz w:val="24"/>
          <w:szCs w:val="24"/>
          <w:lang w:val="zh-CN" w:eastAsia="zh-CN"/>
        </w:rPr>
        <w:t xml:space="preserve"> </w:t>
      </w:r>
      <w:r>
        <w:rPr>
          <w:rFonts w:ascii="宋体" w:hAnsi="宋体" w:eastAsia="宋体" w:cs="Times New Roman"/>
          <w:b/>
          <w:bCs/>
          <w:color w:val="auto"/>
          <w:kern w:val="2"/>
          <w:sz w:val="24"/>
          <w:szCs w:val="24"/>
          <w:lang w:val="zh-CN" w:eastAsia="zh-CN"/>
        </w:rPr>
        <w:t>履约保证金</w:t>
      </w:r>
      <w:bookmarkEnd w:id="167"/>
      <w:bookmarkEnd w:id="168"/>
      <w:bookmarkEnd w:id="169"/>
      <w:bookmarkEnd w:id="170"/>
      <w:bookmarkEnd w:id="171"/>
    </w:p>
    <w:p w14:paraId="3FA4531C">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2.</w:t>
      </w:r>
      <w:r>
        <w:rPr>
          <w:rFonts w:ascii="宋体" w:hAnsi="宋体" w:eastAsia="宋体" w:cs="Times New Roman"/>
          <w:color w:val="auto"/>
          <w:kern w:val="2"/>
          <w:sz w:val="24"/>
          <w:szCs w:val="24"/>
          <w:lang w:eastAsia="zh-CN"/>
        </w:rPr>
        <w:t>17</w:t>
      </w:r>
      <w:r>
        <w:rPr>
          <w:rFonts w:hint="eastAsia" w:ascii="宋体" w:hAnsi="宋体" w:eastAsia="宋体" w:cs="Times New Roman"/>
          <w:color w:val="auto"/>
          <w:kern w:val="2"/>
          <w:sz w:val="24"/>
          <w:szCs w:val="24"/>
          <w:lang w:eastAsia="zh-CN"/>
        </w:rPr>
        <w:t>.1采购文件要求乙方提交履约保证金的，乙方</w:t>
      </w:r>
      <w:r>
        <w:rPr>
          <w:rFonts w:ascii="宋体" w:hAnsi="宋体" w:eastAsia="宋体" w:cs="Times New Roman"/>
          <w:color w:val="auto"/>
          <w:kern w:val="2"/>
          <w:sz w:val="24"/>
          <w:szCs w:val="24"/>
          <w:lang w:eastAsia="zh-CN"/>
        </w:rPr>
        <w:t>应按</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约定的方式</w:t>
      </w:r>
      <w:r>
        <w:rPr>
          <w:rFonts w:hint="eastAsia" w:ascii="宋体" w:hAnsi="宋体" w:eastAsia="宋体" w:cs="Times New Roman"/>
          <w:color w:val="auto"/>
          <w:kern w:val="2"/>
          <w:sz w:val="24"/>
          <w:szCs w:val="24"/>
          <w:lang w:eastAsia="zh-CN"/>
        </w:rPr>
        <w:t>，以转账</w:t>
      </w:r>
      <w:r>
        <w:rPr>
          <w:rFonts w:hint="eastAsia" w:ascii="宋体" w:hAnsi="宋体" w:eastAsia="宋体" w:cs="Times New Roman"/>
          <w:color w:val="auto"/>
          <w:kern w:val="2"/>
          <w:sz w:val="24"/>
          <w:szCs w:val="24"/>
          <w:lang w:val="en-US" w:eastAsia="zh-CN"/>
        </w:rPr>
        <w:t>/电汇、</w:t>
      </w:r>
      <w:r>
        <w:rPr>
          <w:rFonts w:hint="eastAsia" w:ascii="宋体" w:hAnsi="宋体" w:eastAsia="宋体" w:cs="Times New Roman"/>
          <w:color w:val="auto"/>
          <w:kern w:val="2"/>
          <w:sz w:val="24"/>
          <w:szCs w:val="24"/>
          <w:lang w:eastAsia="zh-CN"/>
        </w:rPr>
        <w:t>支票、汇票、本票或者金融机构、担保机构出具的保函等非现金形式提交；</w:t>
      </w:r>
    </w:p>
    <w:p w14:paraId="25C6DC4B">
      <w:pPr>
        <w:spacing w:line="360" w:lineRule="auto"/>
        <w:ind w:firstLine="435"/>
        <w:rPr>
          <w:rFonts w:ascii="宋体" w:hAnsi="宋体" w:eastAsia="宋体"/>
          <w:color w:val="auto"/>
          <w:sz w:val="24"/>
        </w:rPr>
      </w:pPr>
      <w:r>
        <w:rPr>
          <w:rFonts w:hint="eastAsia" w:cs="Times New Roman" w:asciiTheme="minorEastAsia" w:hAnsiTheme="minorEastAsia" w:eastAsiaTheme="minorEastAsia"/>
          <w:color w:val="auto"/>
          <w:sz w:val="24"/>
          <w:szCs w:val="24"/>
          <w:highlight w:val="none"/>
        </w:rPr>
        <w:t>2.</w:t>
      </w:r>
      <w:r>
        <w:rPr>
          <w:rFonts w:hint="eastAsia" w:cs="Times New Roman" w:asciiTheme="minorEastAsia" w:hAnsiTheme="minorEastAsia" w:eastAsiaTheme="minorEastAsia"/>
          <w:color w:val="auto"/>
          <w:sz w:val="24"/>
          <w:szCs w:val="24"/>
          <w:highlight w:val="none"/>
          <w:lang w:val="en-US" w:eastAsia="zh-CN"/>
        </w:rPr>
        <w:t>17</w:t>
      </w:r>
      <w:r>
        <w:rPr>
          <w:rFonts w:cs="Times New Roman" w:asciiTheme="minorEastAsia" w:hAnsiTheme="minorEastAsia" w:eastAsiaTheme="minorEastAsia"/>
          <w:color w:val="auto"/>
          <w:sz w:val="24"/>
          <w:szCs w:val="24"/>
          <w:highlight w:val="none"/>
        </w:rPr>
        <w:t>.2履约保证金在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6911B9CF">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highlight w:val="none"/>
          <w:lang w:eastAsia="zh-CN"/>
        </w:rPr>
        <w:t>2.</w:t>
      </w:r>
      <w:r>
        <w:rPr>
          <w:rFonts w:ascii="宋体" w:hAnsi="宋体" w:eastAsia="宋体" w:cs="Times New Roman"/>
          <w:color w:val="auto"/>
          <w:kern w:val="2"/>
          <w:sz w:val="24"/>
          <w:szCs w:val="24"/>
          <w:highlight w:val="none"/>
          <w:lang w:eastAsia="zh-CN"/>
        </w:rPr>
        <w:t>17</w:t>
      </w:r>
      <w:r>
        <w:rPr>
          <w:rFonts w:hint="eastAsia" w:ascii="宋体" w:hAnsi="宋体" w:eastAsia="宋体" w:cs="Times New Roman"/>
          <w:color w:val="auto"/>
          <w:kern w:val="2"/>
          <w:sz w:val="24"/>
          <w:szCs w:val="24"/>
          <w:highlight w:val="none"/>
          <w:lang w:eastAsia="zh-CN"/>
        </w:rPr>
        <w:t>.3</w:t>
      </w:r>
      <w:r>
        <w:rPr>
          <w:rFonts w:ascii="宋体" w:hAnsi="宋体" w:eastAsia="宋体" w:cs="Times New Roman"/>
          <w:color w:val="auto"/>
          <w:kern w:val="2"/>
          <w:sz w:val="24"/>
          <w:szCs w:val="24"/>
          <w:highlight w:val="none"/>
          <w:lang w:eastAsia="zh-CN"/>
        </w:rPr>
        <w:t>如果乙方不履行合同</w:t>
      </w:r>
      <w:r>
        <w:rPr>
          <w:rFonts w:hint="eastAsia" w:ascii="宋体" w:hAnsi="宋体" w:eastAsia="宋体" w:cs="Times New Roman"/>
          <w:color w:val="auto"/>
          <w:kern w:val="2"/>
          <w:sz w:val="24"/>
          <w:szCs w:val="24"/>
          <w:highlight w:val="none"/>
          <w:lang w:eastAsia="zh-CN"/>
        </w:rPr>
        <w:t>，履约保证金不予退还；如果乙方</w:t>
      </w:r>
      <w:r>
        <w:rPr>
          <w:rFonts w:ascii="宋体" w:hAnsi="宋体" w:eastAsia="宋体" w:cs="Times New Roman"/>
          <w:color w:val="auto"/>
          <w:kern w:val="2"/>
          <w:sz w:val="24"/>
          <w:szCs w:val="24"/>
          <w:highlight w:val="none"/>
          <w:lang w:eastAsia="zh-CN"/>
        </w:rPr>
        <w:t>未能按合同</w:t>
      </w:r>
      <w:r>
        <w:rPr>
          <w:rFonts w:hint="eastAsia" w:ascii="宋体" w:hAnsi="宋体" w:eastAsia="宋体" w:cs="Times New Roman"/>
          <w:color w:val="auto"/>
          <w:kern w:val="2"/>
          <w:sz w:val="24"/>
          <w:szCs w:val="24"/>
          <w:highlight w:val="none"/>
          <w:lang w:eastAsia="zh-CN"/>
        </w:rPr>
        <w:t>约</w:t>
      </w:r>
      <w:r>
        <w:rPr>
          <w:rFonts w:ascii="宋体" w:hAnsi="宋体" w:eastAsia="宋体" w:cs="Times New Roman"/>
          <w:color w:val="auto"/>
          <w:kern w:val="2"/>
          <w:sz w:val="24"/>
          <w:szCs w:val="24"/>
          <w:highlight w:val="none"/>
          <w:lang w:eastAsia="zh-CN"/>
        </w:rPr>
        <w:t>定全面履行义务，那么甲方有权从履约保证金中取得补偿</w:t>
      </w:r>
      <w:r>
        <w:rPr>
          <w:rFonts w:ascii="宋体" w:hAnsi="宋体" w:eastAsia="宋体" w:cs="Times New Roman"/>
          <w:color w:val="auto"/>
          <w:kern w:val="2"/>
          <w:sz w:val="24"/>
          <w:szCs w:val="24"/>
          <w:lang w:eastAsia="zh-CN"/>
        </w:rPr>
        <w:t>或赔偿</w:t>
      </w:r>
      <w:r>
        <w:rPr>
          <w:rFonts w:hint="eastAsia" w:ascii="宋体" w:hAnsi="宋体" w:eastAsia="宋体" w:cs="Times New Roman"/>
          <w:color w:val="auto"/>
          <w:kern w:val="2"/>
          <w:sz w:val="24"/>
          <w:szCs w:val="24"/>
          <w:lang w:eastAsia="zh-CN"/>
        </w:rPr>
        <w:t>，同时不影响甲方要求乙方承担合同约定的超过履约保证金的违约责任的权利。</w:t>
      </w:r>
    </w:p>
    <w:bookmarkEnd w:id="172"/>
    <w:p w14:paraId="4EEA4040">
      <w:pPr>
        <w:spacing w:after="0" w:line="360" w:lineRule="auto"/>
        <w:ind w:firstLine="437"/>
        <w:jc w:val="both"/>
        <w:outlineLvl w:val="2"/>
        <w:rPr>
          <w:rFonts w:ascii="宋体" w:hAnsi="宋体" w:eastAsia="宋体" w:cs="Times New Roman"/>
          <w:b/>
          <w:color w:val="auto"/>
          <w:kern w:val="2"/>
          <w:sz w:val="24"/>
          <w:szCs w:val="24"/>
          <w:lang w:eastAsia="zh-CN"/>
        </w:rPr>
      </w:pPr>
      <w:bookmarkStart w:id="173" w:name="_Toc14001"/>
      <w:bookmarkStart w:id="174" w:name="_Toc19890"/>
      <w:bookmarkStart w:id="175" w:name="_Toc6885"/>
      <w:r>
        <w:rPr>
          <w:rFonts w:hint="eastAsia" w:ascii="宋体" w:hAnsi="宋体" w:eastAsia="宋体" w:cs="Times New Roman"/>
          <w:b/>
          <w:bCs/>
          <w:color w:val="auto"/>
          <w:kern w:val="2"/>
          <w:sz w:val="24"/>
          <w:szCs w:val="24"/>
          <w:lang w:val="zh-CN" w:eastAsia="zh-CN"/>
        </w:rPr>
        <w:t>2.</w:t>
      </w:r>
      <w:r>
        <w:rPr>
          <w:rFonts w:ascii="宋体" w:hAnsi="宋体" w:eastAsia="宋体" w:cs="Times New Roman"/>
          <w:b/>
          <w:bCs/>
          <w:color w:val="auto"/>
          <w:kern w:val="2"/>
          <w:sz w:val="24"/>
          <w:szCs w:val="24"/>
          <w:lang w:val="zh-CN" w:eastAsia="zh-CN"/>
        </w:rPr>
        <w:t>18</w:t>
      </w:r>
      <w:r>
        <w:rPr>
          <w:rFonts w:hint="eastAsia" w:ascii="宋体" w:hAnsi="宋体" w:eastAsia="宋体" w:cs="Times New Roman"/>
          <w:b/>
          <w:bCs/>
          <w:color w:val="auto"/>
          <w:kern w:val="2"/>
          <w:sz w:val="24"/>
          <w:szCs w:val="24"/>
          <w:lang w:val="zh-CN" w:eastAsia="zh-CN"/>
        </w:rPr>
        <w:t xml:space="preserve"> 合同份数</w:t>
      </w:r>
      <w:bookmarkEnd w:id="173"/>
      <w:bookmarkEnd w:id="174"/>
      <w:bookmarkEnd w:id="175"/>
    </w:p>
    <w:p w14:paraId="4479FF91">
      <w:pPr>
        <w:spacing w:after="0" w:line="360" w:lineRule="auto"/>
        <w:ind w:firstLine="435"/>
        <w:jc w:val="both"/>
        <w:rPr>
          <w:rFonts w:ascii="宋体" w:hAnsi="宋体" w:eastAsia="宋体" w:cs="Times New Roman"/>
          <w:color w:val="auto"/>
          <w:kern w:val="2"/>
          <w:sz w:val="24"/>
          <w:szCs w:val="24"/>
          <w:lang w:eastAsia="zh-CN"/>
        </w:rPr>
      </w:pPr>
      <w:r>
        <w:rPr>
          <w:rFonts w:ascii="宋体" w:hAnsi="宋体" w:eastAsia="宋体" w:cs="Times New Roman"/>
          <w:color w:val="auto"/>
          <w:kern w:val="2"/>
          <w:sz w:val="24"/>
          <w:szCs w:val="24"/>
          <w:lang w:eastAsia="zh-CN"/>
        </w:rPr>
        <w:t>合同份数按</w:t>
      </w:r>
      <w:r>
        <w:rPr>
          <w:rFonts w:ascii="宋体" w:hAnsi="宋体" w:eastAsia="宋体" w:cs="Times New Roman"/>
          <w:b/>
          <w:i/>
          <w:color w:val="auto"/>
          <w:kern w:val="2"/>
          <w:sz w:val="24"/>
          <w:szCs w:val="24"/>
          <w:u w:val="single"/>
          <w:lang w:eastAsia="zh-CN"/>
        </w:rPr>
        <w:t>合同专用条款</w:t>
      </w:r>
      <w:r>
        <w:rPr>
          <w:rFonts w:ascii="宋体" w:hAnsi="宋体" w:eastAsia="宋体" w:cs="Times New Roman"/>
          <w:color w:val="auto"/>
          <w:kern w:val="2"/>
          <w:sz w:val="24"/>
          <w:szCs w:val="24"/>
          <w:lang w:eastAsia="zh-CN"/>
        </w:rPr>
        <w:t>规定</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每份均具有同等法律效力</w:t>
      </w:r>
      <w:r>
        <w:rPr>
          <w:rFonts w:hint="eastAsia" w:ascii="宋体" w:hAnsi="宋体" w:eastAsia="宋体" w:cs="Times New Roman"/>
          <w:color w:val="auto"/>
          <w:kern w:val="2"/>
          <w:sz w:val="24"/>
          <w:szCs w:val="24"/>
          <w:lang w:eastAsia="zh-CN"/>
        </w:rPr>
        <w:t>。</w:t>
      </w:r>
    </w:p>
    <w:p w14:paraId="7A36A5E3">
      <w:pPr>
        <w:spacing w:after="0" w:line="360" w:lineRule="auto"/>
        <w:jc w:val="center"/>
        <w:outlineLvl w:val="1"/>
        <w:rPr>
          <w:rFonts w:ascii="宋体" w:hAnsi="宋体" w:eastAsia="宋体" w:cs="@仿宋_GB2312"/>
          <w:b/>
          <w:color w:val="auto"/>
          <w:kern w:val="2"/>
          <w:sz w:val="24"/>
          <w:szCs w:val="20"/>
          <w:lang w:eastAsia="zh-CN"/>
        </w:rPr>
      </w:pPr>
      <w:r>
        <w:rPr>
          <w:rFonts w:ascii="宋体" w:hAnsi="宋体" w:eastAsia="宋体" w:cs="Times New Roman"/>
          <w:color w:val="auto"/>
          <w:kern w:val="2"/>
          <w:sz w:val="24"/>
          <w:szCs w:val="24"/>
          <w:lang w:eastAsia="zh-CN"/>
        </w:rPr>
        <w:br w:type="page"/>
      </w:r>
      <w:bookmarkStart w:id="176" w:name="_Toc3736"/>
      <w:r>
        <w:rPr>
          <w:rFonts w:hint="eastAsia" w:ascii="宋体" w:hAnsi="宋体" w:eastAsia="宋体" w:cs="@仿宋_GB2312"/>
          <w:b/>
          <w:color w:val="auto"/>
          <w:kern w:val="2"/>
          <w:sz w:val="24"/>
          <w:szCs w:val="20"/>
          <w:lang w:eastAsia="zh-CN"/>
        </w:rPr>
        <w:t>第三部分</w:t>
      </w:r>
      <w:r>
        <w:rPr>
          <w:rFonts w:ascii="宋体" w:hAnsi="宋体" w:eastAsia="宋体" w:cs="@仿宋_GB2312"/>
          <w:b/>
          <w:color w:val="auto"/>
          <w:kern w:val="2"/>
          <w:sz w:val="24"/>
          <w:szCs w:val="20"/>
          <w:lang w:eastAsia="zh-CN"/>
        </w:rPr>
        <w:t xml:space="preserve"> </w:t>
      </w:r>
      <w:r>
        <w:rPr>
          <w:rFonts w:hint="eastAsia" w:ascii="宋体" w:hAnsi="宋体" w:eastAsia="宋体" w:cs="@仿宋_GB2312"/>
          <w:b/>
          <w:color w:val="auto"/>
          <w:kern w:val="2"/>
          <w:sz w:val="24"/>
          <w:szCs w:val="20"/>
          <w:lang w:eastAsia="zh-CN"/>
        </w:rPr>
        <w:t>合同专用条款</w:t>
      </w:r>
      <w:bookmarkEnd w:id="176"/>
    </w:p>
    <w:p w14:paraId="16C0279D">
      <w:pPr>
        <w:spacing w:after="0" w:line="360" w:lineRule="auto"/>
        <w:ind w:firstLine="435"/>
        <w:jc w:val="both"/>
        <w:rPr>
          <w:rFonts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本部分</w:t>
      </w:r>
      <w:r>
        <w:rPr>
          <w:rFonts w:ascii="宋体" w:hAnsi="宋体" w:eastAsia="宋体" w:cs="Times New Roman"/>
          <w:color w:val="auto"/>
          <w:kern w:val="2"/>
          <w:sz w:val="24"/>
          <w:szCs w:val="24"/>
          <w:lang w:eastAsia="zh-CN"/>
        </w:rPr>
        <w:t>是对</w:t>
      </w:r>
      <w:r>
        <w:rPr>
          <w:rFonts w:hint="eastAsia" w:ascii="宋体" w:hAnsi="宋体" w:eastAsia="宋体" w:cs="Times New Roman"/>
          <w:color w:val="auto"/>
          <w:kern w:val="2"/>
          <w:sz w:val="24"/>
          <w:szCs w:val="24"/>
          <w:lang w:eastAsia="zh-CN"/>
        </w:rPr>
        <w:t>前两</w:t>
      </w:r>
      <w:r>
        <w:rPr>
          <w:rFonts w:ascii="宋体" w:hAnsi="宋体" w:eastAsia="宋体" w:cs="Times New Roman"/>
          <w:color w:val="auto"/>
          <w:kern w:val="2"/>
          <w:sz w:val="24"/>
          <w:szCs w:val="24"/>
          <w:lang w:eastAsia="zh-CN"/>
        </w:rPr>
        <w:t>部分的补充和修改</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如果</w:t>
      </w:r>
      <w:r>
        <w:rPr>
          <w:rFonts w:hint="eastAsia" w:ascii="宋体" w:hAnsi="宋体" w:eastAsia="宋体" w:cs="Times New Roman"/>
          <w:color w:val="auto"/>
          <w:kern w:val="2"/>
          <w:sz w:val="24"/>
          <w:szCs w:val="24"/>
          <w:lang w:eastAsia="zh-CN"/>
        </w:rPr>
        <w:t>前两</w:t>
      </w:r>
      <w:r>
        <w:rPr>
          <w:rFonts w:ascii="宋体" w:hAnsi="宋体" w:eastAsia="宋体" w:cs="Times New Roman"/>
          <w:color w:val="auto"/>
          <w:kern w:val="2"/>
          <w:sz w:val="24"/>
          <w:szCs w:val="24"/>
          <w:lang w:eastAsia="zh-CN"/>
        </w:rPr>
        <w:t>部分和本部分的约定不一致</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应以本部分的约定为准</w:t>
      </w:r>
      <w:r>
        <w:rPr>
          <w:rFonts w:hint="eastAsia" w:ascii="宋体" w:hAnsi="宋体" w:eastAsia="宋体" w:cs="Times New Roman"/>
          <w:color w:val="auto"/>
          <w:kern w:val="2"/>
          <w:sz w:val="24"/>
          <w:szCs w:val="24"/>
          <w:lang w:eastAsia="zh-CN"/>
        </w:rPr>
        <w:t>。</w:t>
      </w:r>
      <w:r>
        <w:rPr>
          <w:rFonts w:ascii="宋体" w:hAnsi="宋体" w:eastAsia="宋体" w:cs="Times New Roman"/>
          <w:color w:val="auto"/>
          <w:kern w:val="2"/>
          <w:sz w:val="24"/>
          <w:szCs w:val="24"/>
          <w:lang w:eastAsia="zh-CN"/>
        </w:rPr>
        <w:t>本部分的条款号应与</w:t>
      </w:r>
      <w:r>
        <w:rPr>
          <w:rFonts w:hint="eastAsia" w:ascii="宋体" w:hAnsi="宋体" w:eastAsia="宋体" w:cs="Times New Roman"/>
          <w:color w:val="auto"/>
          <w:kern w:val="2"/>
          <w:sz w:val="24"/>
          <w:szCs w:val="24"/>
          <w:lang w:eastAsia="zh-CN"/>
        </w:rPr>
        <w:t>前两部分</w:t>
      </w:r>
      <w:r>
        <w:rPr>
          <w:rFonts w:ascii="宋体" w:hAnsi="宋体" w:eastAsia="宋体" w:cs="Times New Roman"/>
          <w:color w:val="auto"/>
          <w:kern w:val="2"/>
          <w:sz w:val="24"/>
          <w:szCs w:val="24"/>
          <w:lang w:eastAsia="zh-CN"/>
        </w:rPr>
        <w:t>的条款号保持对应</w:t>
      </w:r>
      <w:r>
        <w:rPr>
          <w:rFonts w:hint="eastAsia" w:ascii="宋体" w:hAnsi="宋体" w:eastAsia="宋体" w:cs="Times New Roman"/>
          <w:color w:val="auto"/>
          <w:kern w:val="2"/>
          <w:sz w:val="24"/>
          <w:szCs w:val="24"/>
          <w:lang w:eastAsia="zh-CN"/>
        </w:rPr>
        <w:t>；与前两部分</w:t>
      </w:r>
      <w:r>
        <w:rPr>
          <w:rFonts w:ascii="宋体" w:hAnsi="宋体" w:eastAsia="宋体" w:cs="Times New Roman"/>
          <w:color w:val="auto"/>
          <w:kern w:val="2"/>
          <w:sz w:val="24"/>
          <w:szCs w:val="24"/>
          <w:lang w:eastAsia="zh-CN"/>
        </w:rPr>
        <w:t>无对应关系的内容可另行编制条款号</w:t>
      </w:r>
      <w:r>
        <w:rPr>
          <w:rFonts w:hint="eastAsia" w:ascii="宋体" w:hAnsi="宋体" w:eastAsia="宋体" w:cs="Times New Roman"/>
          <w:color w:val="auto"/>
          <w:kern w:val="2"/>
          <w:sz w:val="24"/>
          <w:szCs w:val="24"/>
          <w:lang w:eastAsia="zh-CN"/>
        </w:rPr>
        <w:t>。</w:t>
      </w:r>
    </w:p>
    <w:tbl>
      <w:tblPr>
        <w:tblStyle w:val="2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73"/>
      </w:tblGrid>
      <w:tr w14:paraId="4101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4BCC0591">
            <w:pPr>
              <w:spacing w:after="0" w:line="240" w:lineRule="auto"/>
              <w:jc w:val="center"/>
              <w:rPr>
                <w:rFonts w:ascii="宋体" w:hAnsi="宋体" w:eastAsia="宋体" w:cs="@仿宋_GB2312"/>
                <w:b/>
                <w:color w:val="auto"/>
                <w:kern w:val="2"/>
                <w:sz w:val="24"/>
                <w:szCs w:val="20"/>
                <w:lang w:eastAsia="zh-CN"/>
              </w:rPr>
            </w:pPr>
            <w:r>
              <w:rPr>
                <w:rFonts w:ascii="宋体" w:hAnsi="宋体" w:eastAsia="宋体" w:cs="@仿宋_GB2312"/>
                <w:b/>
                <w:color w:val="auto"/>
                <w:kern w:val="2"/>
                <w:sz w:val="24"/>
                <w:szCs w:val="20"/>
                <w:lang w:eastAsia="zh-CN"/>
              </w:rPr>
              <w:t>条款号</w:t>
            </w:r>
          </w:p>
        </w:tc>
        <w:tc>
          <w:tcPr>
            <w:tcW w:w="4525" w:type="pct"/>
            <w:vAlign w:val="center"/>
          </w:tcPr>
          <w:p w14:paraId="1BA5396B">
            <w:pPr>
              <w:spacing w:after="0" w:line="240" w:lineRule="auto"/>
              <w:jc w:val="center"/>
              <w:rPr>
                <w:rFonts w:ascii="宋体" w:hAnsi="宋体" w:eastAsia="宋体" w:cs="@仿宋_GB2312"/>
                <w:b/>
                <w:color w:val="auto"/>
                <w:kern w:val="2"/>
                <w:sz w:val="24"/>
                <w:szCs w:val="20"/>
                <w:lang w:eastAsia="zh-CN"/>
              </w:rPr>
            </w:pPr>
            <w:r>
              <w:rPr>
                <w:rFonts w:ascii="宋体" w:hAnsi="宋体" w:eastAsia="宋体" w:cs="@仿宋_GB2312"/>
                <w:b/>
                <w:color w:val="auto"/>
                <w:kern w:val="2"/>
                <w:sz w:val="24"/>
                <w:szCs w:val="20"/>
                <w:lang w:eastAsia="zh-CN"/>
              </w:rPr>
              <w:t>约定内容</w:t>
            </w:r>
          </w:p>
        </w:tc>
      </w:tr>
      <w:tr w14:paraId="06B77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31EB7168">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2.3.2</w:t>
            </w:r>
          </w:p>
        </w:tc>
        <w:tc>
          <w:tcPr>
            <w:tcW w:w="4525" w:type="pct"/>
            <w:vAlign w:val="center"/>
          </w:tcPr>
          <w:p w14:paraId="06A98C95">
            <w:pPr>
              <w:spacing w:after="0" w:line="560" w:lineRule="exact"/>
              <w:jc w:val="both"/>
              <w:rPr>
                <w:rFonts w:ascii="宋体" w:hAnsi="宋体" w:eastAsia="宋体" w:cs="@仿宋_GB2312"/>
                <w:color w:val="auto"/>
                <w:kern w:val="2"/>
                <w:sz w:val="24"/>
                <w:szCs w:val="20"/>
                <w:lang w:eastAsia="zh-CN"/>
              </w:rPr>
            </w:pPr>
          </w:p>
        </w:tc>
      </w:tr>
      <w:tr w14:paraId="7475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5AE3EC53">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zh-CN" w:eastAsia="zh-CN"/>
              </w:rPr>
              <w:t>2.</w:t>
            </w:r>
            <w:r>
              <w:rPr>
                <w:rFonts w:ascii="宋体" w:hAnsi="宋体" w:eastAsia="宋体" w:cs="@仿宋_GB2312"/>
                <w:color w:val="auto"/>
                <w:kern w:val="2"/>
                <w:sz w:val="24"/>
                <w:szCs w:val="20"/>
                <w:highlight w:val="none"/>
                <w:lang w:val="zh-CN" w:eastAsia="zh-CN"/>
              </w:rPr>
              <w:t>5</w:t>
            </w:r>
          </w:p>
        </w:tc>
        <w:tc>
          <w:tcPr>
            <w:tcW w:w="4525" w:type="pct"/>
            <w:vAlign w:val="center"/>
          </w:tcPr>
          <w:p w14:paraId="3CE8B6FB">
            <w:pPr>
              <w:spacing w:after="0" w:line="560" w:lineRule="exact"/>
              <w:jc w:val="both"/>
              <w:rPr>
                <w:rFonts w:ascii="宋体" w:hAnsi="宋体" w:eastAsia="宋体" w:cs="@仿宋_GB2312"/>
                <w:color w:val="auto"/>
                <w:kern w:val="2"/>
                <w:sz w:val="24"/>
                <w:szCs w:val="20"/>
                <w:lang w:eastAsia="zh-CN"/>
              </w:rPr>
            </w:pPr>
          </w:p>
        </w:tc>
      </w:tr>
      <w:tr w14:paraId="3833C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47BA59D4">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2.1</w:t>
            </w:r>
            <w:r>
              <w:rPr>
                <w:rFonts w:ascii="宋体" w:hAnsi="宋体" w:eastAsia="宋体" w:cs="@仿宋_GB2312"/>
                <w:color w:val="auto"/>
                <w:kern w:val="2"/>
                <w:sz w:val="24"/>
                <w:szCs w:val="20"/>
                <w:highlight w:val="none"/>
                <w:lang w:eastAsia="zh-CN"/>
              </w:rPr>
              <w:t>1</w:t>
            </w:r>
            <w:r>
              <w:rPr>
                <w:rFonts w:hint="eastAsia" w:ascii="宋体" w:hAnsi="宋体" w:eastAsia="宋体" w:cs="@仿宋_GB2312"/>
                <w:color w:val="auto"/>
                <w:kern w:val="2"/>
                <w:sz w:val="24"/>
                <w:szCs w:val="20"/>
                <w:highlight w:val="none"/>
                <w:lang w:eastAsia="zh-CN"/>
              </w:rPr>
              <w:t>.3</w:t>
            </w:r>
          </w:p>
        </w:tc>
        <w:tc>
          <w:tcPr>
            <w:tcW w:w="4525" w:type="pct"/>
            <w:vAlign w:val="center"/>
          </w:tcPr>
          <w:p w14:paraId="0FACEC60">
            <w:pPr>
              <w:spacing w:after="0" w:line="560" w:lineRule="exact"/>
              <w:jc w:val="both"/>
              <w:rPr>
                <w:rFonts w:ascii="宋体" w:hAnsi="宋体" w:eastAsia="宋体" w:cs="@仿宋_GB2312"/>
                <w:color w:val="auto"/>
                <w:kern w:val="2"/>
                <w:sz w:val="24"/>
                <w:szCs w:val="20"/>
                <w:lang w:eastAsia="zh-CN"/>
              </w:rPr>
            </w:pPr>
          </w:p>
        </w:tc>
      </w:tr>
      <w:tr w14:paraId="08D19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60B96AE5">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2.1</w:t>
            </w:r>
            <w:r>
              <w:rPr>
                <w:rFonts w:ascii="宋体" w:hAnsi="宋体" w:eastAsia="宋体" w:cs="@仿宋_GB2312"/>
                <w:color w:val="auto"/>
                <w:kern w:val="2"/>
                <w:sz w:val="24"/>
                <w:szCs w:val="20"/>
                <w:highlight w:val="none"/>
                <w:lang w:eastAsia="zh-CN"/>
              </w:rPr>
              <w:t>1.</w:t>
            </w:r>
            <w:r>
              <w:rPr>
                <w:rFonts w:hint="eastAsia" w:ascii="宋体" w:hAnsi="宋体" w:eastAsia="宋体" w:cs="@仿宋_GB2312"/>
                <w:color w:val="auto"/>
                <w:kern w:val="2"/>
                <w:sz w:val="24"/>
                <w:szCs w:val="20"/>
                <w:highlight w:val="none"/>
                <w:lang w:eastAsia="zh-CN"/>
              </w:rPr>
              <w:t>4</w:t>
            </w:r>
          </w:p>
        </w:tc>
        <w:tc>
          <w:tcPr>
            <w:tcW w:w="4525" w:type="pct"/>
            <w:vAlign w:val="center"/>
          </w:tcPr>
          <w:p w14:paraId="37BB78BA">
            <w:pPr>
              <w:spacing w:after="0" w:line="560" w:lineRule="exact"/>
              <w:jc w:val="both"/>
              <w:rPr>
                <w:rFonts w:ascii="宋体" w:hAnsi="宋体" w:eastAsia="宋体" w:cs="@仿宋_GB2312"/>
                <w:color w:val="auto"/>
                <w:kern w:val="2"/>
                <w:sz w:val="24"/>
                <w:szCs w:val="20"/>
                <w:lang w:eastAsia="zh-CN"/>
              </w:rPr>
            </w:pPr>
          </w:p>
        </w:tc>
      </w:tr>
      <w:tr w14:paraId="6F93E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15726F5A">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w:t>
            </w:r>
            <w:r>
              <w:rPr>
                <w:rFonts w:ascii="宋体" w:hAnsi="宋体" w:eastAsia="宋体" w:cs="@仿宋_GB2312"/>
                <w:color w:val="auto"/>
                <w:kern w:val="2"/>
                <w:sz w:val="24"/>
                <w:szCs w:val="20"/>
                <w:highlight w:val="none"/>
                <w:lang w:eastAsia="zh-CN"/>
              </w:rPr>
              <w:t>1</w:t>
            </w:r>
            <w:r>
              <w:rPr>
                <w:rFonts w:hint="eastAsia" w:ascii="宋体" w:hAnsi="宋体" w:eastAsia="宋体" w:cs="@仿宋_GB2312"/>
                <w:color w:val="auto"/>
                <w:kern w:val="2"/>
                <w:sz w:val="24"/>
                <w:szCs w:val="20"/>
                <w:highlight w:val="none"/>
                <w:lang w:eastAsia="zh-CN"/>
              </w:rPr>
              <w:t>5</w:t>
            </w:r>
            <w:r>
              <w:rPr>
                <w:rFonts w:ascii="宋体" w:hAnsi="宋体" w:eastAsia="宋体" w:cs="@仿宋_GB2312"/>
                <w:color w:val="auto"/>
                <w:kern w:val="2"/>
                <w:sz w:val="24"/>
                <w:szCs w:val="20"/>
                <w:highlight w:val="none"/>
                <w:lang w:eastAsia="zh-CN"/>
              </w:rPr>
              <w:t>.</w:t>
            </w:r>
            <w:r>
              <w:rPr>
                <w:rFonts w:hint="eastAsia" w:ascii="宋体" w:hAnsi="宋体" w:eastAsia="宋体" w:cs="@仿宋_GB2312"/>
                <w:color w:val="auto"/>
                <w:kern w:val="2"/>
                <w:sz w:val="24"/>
                <w:szCs w:val="20"/>
                <w:highlight w:val="none"/>
                <w:lang w:eastAsia="zh-CN"/>
              </w:rPr>
              <w:t>1</w:t>
            </w:r>
          </w:p>
        </w:tc>
        <w:tc>
          <w:tcPr>
            <w:tcW w:w="4525" w:type="pct"/>
            <w:vAlign w:val="center"/>
          </w:tcPr>
          <w:p w14:paraId="4214A629">
            <w:pPr>
              <w:spacing w:after="0" w:line="560" w:lineRule="exact"/>
              <w:jc w:val="both"/>
              <w:rPr>
                <w:rFonts w:ascii="宋体" w:hAnsi="宋体" w:eastAsia="宋体" w:cs="@仿宋_GB2312"/>
                <w:color w:val="auto"/>
                <w:kern w:val="2"/>
                <w:sz w:val="24"/>
                <w:szCs w:val="20"/>
                <w:u w:val="single"/>
                <w:lang w:eastAsia="zh-CN"/>
              </w:rPr>
            </w:pPr>
          </w:p>
        </w:tc>
      </w:tr>
      <w:tr w14:paraId="2CBD3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6630A95D">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2.15.3</w:t>
            </w:r>
          </w:p>
        </w:tc>
        <w:tc>
          <w:tcPr>
            <w:tcW w:w="4525" w:type="pct"/>
            <w:vAlign w:val="center"/>
          </w:tcPr>
          <w:p w14:paraId="2B9363B2">
            <w:pPr>
              <w:spacing w:after="0" w:line="560" w:lineRule="exact"/>
              <w:jc w:val="both"/>
              <w:rPr>
                <w:rFonts w:ascii="宋体" w:hAnsi="宋体" w:eastAsia="宋体" w:cs="@仿宋_GB2312"/>
                <w:color w:val="auto"/>
                <w:kern w:val="2"/>
                <w:sz w:val="24"/>
                <w:szCs w:val="20"/>
                <w:lang w:eastAsia="zh-CN"/>
              </w:rPr>
            </w:pPr>
          </w:p>
        </w:tc>
      </w:tr>
      <w:tr w14:paraId="18196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1988229">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w:t>
            </w:r>
            <w:r>
              <w:rPr>
                <w:rFonts w:ascii="宋体" w:hAnsi="宋体" w:eastAsia="宋体" w:cs="@仿宋_GB2312"/>
                <w:color w:val="auto"/>
                <w:kern w:val="2"/>
                <w:sz w:val="24"/>
                <w:szCs w:val="20"/>
                <w:highlight w:val="none"/>
                <w:lang w:eastAsia="zh-CN"/>
              </w:rPr>
              <w:t>17</w:t>
            </w:r>
            <w:r>
              <w:rPr>
                <w:rFonts w:hint="eastAsia" w:ascii="宋体" w:hAnsi="宋体" w:eastAsia="宋体" w:cs="@仿宋_GB2312"/>
                <w:color w:val="auto"/>
                <w:kern w:val="2"/>
                <w:sz w:val="24"/>
                <w:szCs w:val="20"/>
                <w:highlight w:val="none"/>
                <w:lang w:eastAsia="zh-CN"/>
              </w:rPr>
              <w:t>.1</w:t>
            </w:r>
          </w:p>
        </w:tc>
        <w:tc>
          <w:tcPr>
            <w:tcW w:w="4525" w:type="pct"/>
            <w:vAlign w:val="center"/>
          </w:tcPr>
          <w:p w14:paraId="39DE8F28">
            <w:pPr>
              <w:spacing w:after="0" w:line="560" w:lineRule="exact"/>
              <w:jc w:val="both"/>
              <w:rPr>
                <w:rFonts w:ascii="宋体" w:hAnsi="宋体" w:eastAsia="宋体" w:cs="@仿宋_GB2312"/>
                <w:color w:val="auto"/>
                <w:kern w:val="2"/>
                <w:sz w:val="24"/>
                <w:szCs w:val="20"/>
                <w:u w:val="single"/>
                <w:lang w:eastAsia="zh-CN"/>
              </w:rPr>
            </w:pPr>
          </w:p>
        </w:tc>
      </w:tr>
      <w:tr w14:paraId="23E3C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4C42F982">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Times New Roman"/>
                <w:color w:val="auto"/>
                <w:kern w:val="2"/>
                <w:sz w:val="24"/>
                <w:szCs w:val="24"/>
                <w:highlight w:val="none"/>
                <w:lang w:eastAsia="zh-CN"/>
              </w:rPr>
              <w:t>2.</w:t>
            </w:r>
            <w:r>
              <w:rPr>
                <w:rFonts w:hint="eastAsia" w:ascii="宋体" w:hAnsi="宋体" w:eastAsia="宋体" w:cs="Times New Roman"/>
                <w:color w:val="auto"/>
                <w:kern w:val="2"/>
                <w:sz w:val="24"/>
                <w:szCs w:val="24"/>
                <w:highlight w:val="none"/>
                <w:lang w:val="en-US" w:eastAsia="zh-CN"/>
              </w:rPr>
              <w:t>17</w:t>
            </w:r>
            <w:r>
              <w:rPr>
                <w:rFonts w:ascii="宋体" w:hAnsi="宋体" w:eastAsia="宋体" w:cs="Times New Roman"/>
                <w:color w:val="auto"/>
                <w:kern w:val="2"/>
                <w:sz w:val="24"/>
                <w:szCs w:val="24"/>
                <w:highlight w:val="none"/>
                <w:lang w:eastAsia="zh-CN"/>
              </w:rPr>
              <w:t>.2</w:t>
            </w:r>
          </w:p>
        </w:tc>
        <w:tc>
          <w:tcPr>
            <w:tcW w:w="4525" w:type="pct"/>
            <w:vAlign w:val="center"/>
          </w:tcPr>
          <w:p w14:paraId="239DE51F">
            <w:pPr>
              <w:spacing w:after="0" w:line="560" w:lineRule="exact"/>
              <w:jc w:val="both"/>
              <w:rPr>
                <w:rFonts w:ascii="宋体" w:hAnsi="宋体" w:eastAsia="宋体" w:cs="@仿宋_GB2312"/>
                <w:color w:val="auto"/>
                <w:kern w:val="2"/>
                <w:sz w:val="24"/>
                <w:szCs w:val="20"/>
                <w:lang w:eastAsia="zh-CN"/>
              </w:rPr>
            </w:pPr>
          </w:p>
        </w:tc>
      </w:tr>
      <w:tr w14:paraId="2E178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301B4B8B">
            <w:pPr>
              <w:spacing w:after="0" w:line="560" w:lineRule="exact"/>
              <w:jc w:val="center"/>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zh-CN" w:eastAsia="zh-CN"/>
              </w:rPr>
              <w:t>2.</w:t>
            </w:r>
            <w:r>
              <w:rPr>
                <w:rFonts w:ascii="宋体" w:hAnsi="宋体" w:eastAsia="宋体" w:cs="@仿宋_GB2312"/>
                <w:color w:val="auto"/>
                <w:kern w:val="2"/>
                <w:sz w:val="24"/>
                <w:szCs w:val="20"/>
                <w:highlight w:val="none"/>
                <w:lang w:val="zh-CN" w:eastAsia="zh-CN"/>
              </w:rPr>
              <w:t>18</w:t>
            </w:r>
          </w:p>
        </w:tc>
        <w:tc>
          <w:tcPr>
            <w:tcW w:w="4525" w:type="pct"/>
            <w:vAlign w:val="center"/>
          </w:tcPr>
          <w:p w14:paraId="53EF9B38">
            <w:pPr>
              <w:spacing w:after="0" w:line="560" w:lineRule="exact"/>
              <w:jc w:val="both"/>
              <w:rPr>
                <w:rFonts w:ascii="宋体" w:hAnsi="宋体" w:eastAsia="宋体" w:cs="@仿宋_GB2312"/>
                <w:color w:val="auto"/>
                <w:kern w:val="2"/>
                <w:sz w:val="24"/>
                <w:szCs w:val="20"/>
                <w:lang w:eastAsia="zh-CN"/>
              </w:rPr>
            </w:pPr>
          </w:p>
        </w:tc>
      </w:tr>
    </w:tbl>
    <w:p w14:paraId="435DC910">
      <w:pPr>
        <w:wordWrap/>
        <w:adjustRightInd/>
        <w:snapToGrid w:val="0"/>
        <w:spacing w:line="360" w:lineRule="auto"/>
        <w:jc w:val="center"/>
        <w:textAlignment w:val="auto"/>
        <w:rPr>
          <w:rFonts w:hint="eastAsia" w:ascii="宋体" w:hAnsi="宋体" w:eastAsia="宋体" w:cs="宋体"/>
          <w:b/>
          <w:color w:val="auto"/>
          <w:sz w:val="36"/>
          <w:szCs w:val="36"/>
        </w:rPr>
      </w:pPr>
    </w:p>
    <w:p w14:paraId="0F1E0A85">
      <w:pPr>
        <w:pStyle w:val="2"/>
        <w:rPr>
          <w:rFonts w:hint="eastAsia" w:ascii="宋体" w:hAnsi="宋体" w:eastAsia="宋体" w:cs="宋体"/>
          <w:b/>
          <w:bCs/>
          <w:color w:val="auto"/>
          <w:sz w:val="24"/>
          <w:szCs w:val="24"/>
        </w:rPr>
      </w:pPr>
    </w:p>
    <w:p w14:paraId="782DCD85">
      <w:pPr>
        <w:pStyle w:val="2"/>
        <w:rPr>
          <w:rFonts w:hint="eastAsia" w:ascii="宋体" w:hAnsi="宋体" w:eastAsia="宋体" w:cs="宋体"/>
          <w:b/>
          <w:bCs/>
          <w:color w:val="auto"/>
          <w:sz w:val="24"/>
          <w:szCs w:val="24"/>
        </w:rPr>
      </w:pPr>
    </w:p>
    <w:p w14:paraId="3BAB4BF5">
      <w:pPr>
        <w:pStyle w:val="2"/>
        <w:rPr>
          <w:rFonts w:hint="eastAsia" w:ascii="宋体" w:hAnsi="宋体" w:eastAsia="宋体" w:cs="宋体"/>
          <w:b/>
          <w:bCs/>
          <w:color w:val="auto"/>
          <w:sz w:val="24"/>
          <w:szCs w:val="24"/>
        </w:rPr>
      </w:pPr>
    </w:p>
    <w:p w14:paraId="00C2A926">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2DB2A592">
      <w:pPr>
        <w:pStyle w:val="3"/>
        <w:tabs>
          <w:tab w:val="left" w:pos="4386"/>
        </w:tabs>
        <w:spacing w:line="460" w:lineRule="exact"/>
        <w:ind w:left="2761" w:right="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cs="宋体"/>
          <w:b/>
          <w:bCs/>
          <w:color w:val="auto"/>
          <w:sz w:val="24"/>
          <w:szCs w:val="24"/>
          <w:lang w:eastAsia="zh-CN"/>
        </w:rPr>
        <w:t>六</w:t>
      </w:r>
      <w:r>
        <w:rPr>
          <w:rFonts w:hint="eastAsia" w:ascii="宋体" w:hAnsi="宋体" w:eastAsia="宋体" w:cs="宋体"/>
          <w:b/>
          <w:bCs/>
          <w:color w:val="auto"/>
          <w:sz w:val="24"/>
          <w:szCs w:val="24"/>
        </w:rPr>
        <w:t>章</w:t>
      </w:r>
      <w:bookmarkEnd w:id="33"/>
      <w:r>
        <w:rPr>
          <w:rFonts w:hint="eastAsia" w:cs="宋体"/>
          <w:b/>
          <w:bCs/>
          <w:color w:val="auto"/>
          <w:sz w:val="24"/>
          <w:szCs w:val="24"/>
          <w:lang w:val="en-US" w:eastAsia="zh-CN"/>
        </w:rPr>
        <w:t xml:space="preserve">   </w:t>
      </w:r>
      <w:r>
        <w:rPr>
          <w:rFonts w:hint="eastAsia" w:ascii="宋体" w:hAnsi="宋体" w:eastAsia="宋体" w:cs="宋体"/>
          <w:b/>
          <w:bCs/>
          <w:color w:val="auto"/>
          <w:spacing w:val="1"/>
          <w:sz w:val="24"/>
          <w:szCs w:val="24"/>
        </w:rPr>
        <w:t>投标文件格式</w:t>
      </w:r>
    </w:p>
    <w:p w14:paraId="03691409">
      <w:pPr>
        <w:spacing w:before="0" w:line="240" w:lineRule="auto"/>
        <w:rPr>
          <w:rFonts w:hint="eastAsia" w:ascii="宋体" w:hAnsi="宋体" w:eastAsia="宋体" w:cs="宋体"/>
          <w:color w:val="auto"/>
          <w:sz w:val="24"/>
          <w:szCs w:val="24"/>
        </w:rPr>
      </w:pPr>
    </w:p>
    <w:p w14:paraId="31D8A0E0">
      <w:pPr>
        <w:spacing w:before="1" w:line="240" w:lineRule="auto"/>
        <w:rPr>
          <w:rFonts w:hint="eastAsia" w:ascii="宋体" w:hAnsi="宋体" w:eastAsia="宋体" w:cs="宋体"/>
          <w:color w:val="auto"/>
          <w:sz w:val="24"/>
          <w:szCs w:val="24"/>
        </w:rPr>
      </w:pPr>
    </w:p>
    <w:p w14:paraId="082863B0">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投标人编制文件须知</w:t>
      </w:r>
      <w:r>
        <w:rPr>
          <w:rFonts w:hint="eastAsia" w:ascii="宋体" w:hAnsi="宋体" w:eastAsia="宋体" w:cs="宋体"/>
          <w:color w:val="auto"/>
          <w:spacing w:val="1"/>
          <w:sz w:val="24"/>
          <w:szCs w:val="24"/>
          <w:lang w:eastAsia="zh-CN"/>
        </w:rPr>
        <w:t>：</w:t>
      </w:r>
    </w:p>
    <w:p w14:paraId="1707D7A9">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1、投标人按照本部分的顺序编制投标文件（资格、技术及商务部分）、投标文件（</w:t>
      </w:r>
      <w:r>
        <w:rPr>
          <w:rFonts w:hint="eastAsia" w:ascii="宋体" w:hAnsi="宋体" w:eastAsia="宋体" w:cs="宋体"/>
          <w:color w:val="auto"/>
          <w:spacing w:val="1"/>
          <w:sz w:val="24"/>
          <w:szCs w:val="24"/>
          <w:lang w:val="en-US" w:eastAsia="zh-CN"/>
        </w:rPr>
        <w:t>报价部分</w:t>
      </w:r>
      <w:r>
        <w:rPr>
          <w:rFonts w:hint="eastAsia" w:ascii="宋体" w:hAnsi="宋体" w:eastAsia="宋体" w:cs="宋体"/>
          <w:color w:val="auto"/>
          <w:spacing w:val="1"/>
          <w:sz w:val="24"/>
          <w:szCs w:val="24"/>
        </w:rPr>
        <w:t>），编制中涉及格式资料的，应按照本部分提供的内容和格式（所有表格的格式可扩展）填写提交。</w:t>
      </w:r>
    </w:p>
    <w:p w14:paraId="3BE646A5">
      <w:pPr>
        <w:pStyle w:val="2"/>
        <w:widowControl w:val="0"/>
        <w:wordWrap/>
        <w:adjustRightInd/>
        <w:snapToGrid w:val="0"/>
        <w:spacing w:before="0" w:after="0" w:afterAutospacing="0" w:line="360" w:lineRule="auto"/>
        <w:ind w:left="0" w:right="213" w:firstLine="484" w:firstLineChars="200"/>
        <w:jc w:val="both"/>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rPr>
        <w:t>、全部声明和所附材料必须是真实的、准确的和完整的。</w:t>
      </w:r>
    </w:p>
    <w:p w14:paraId="73920338">
      <w:pPr>
        <w:widowControl w:val="0"/>
        <w:wordWrap/>
        <w:adjustRightInd/>
        <w:snapToGrid w:val="0"/>
        <w:spacing w:after="0" w:line="360" w:lineRule="auto"/>
        <w:jc w:val="left"/>
        <w:textAlignment w:val="auto"/>
        <w:rPr>
          <w:color w:val="auto"/>
          <w:sz w:val="24"/>
          <w:szCs w:val="24"/>
        </w:rPr>
        <w:sectPr>
          <w:headerReference r:id="rId5" w:type="default"/>
          <w:footerReference r:id="rId6" w:type="default"/>
          <w:pgSz w:w="11910" w:h="16840"/>
          <w:pgMar w:top="1440" w:right="1800" w:bottom="1440" w:left="1800" w:header="879" w:footer="868" w:gutter="0"/>
          <w:pgBorders>
            <w:top w:val="none" w:sz="0" w:space="0"/>
            <w:left w:val="none" w:sz="0" w:space="0"/>
            <w:bottom w:val="none" w:sz="0" w:space="0"/>
            <w:right w:val="none" w:sz="0" w:space="0"/>
          </w:pgBorders>
          <w:pgNumType w:fmt="decimal"/>
          <w:cols w:space="720" w:num="1"/>
        </w:sectPr>
      </w:pPr>
    </w:p>
    <w:p w14:paraId="2B486C59">
      <w:pPr>
        <w:spacing w:before="12" w:line="240" w:lineRule="auto"/>
        <w:rPr>
          <w:rFonts w:hint="eastAsia" w:ascii="宋体" w:hAnsi="宋体" w:eastAsia="宋体" w:cs="宋体"/>
          <w:color w:val="auto"/>
          <w:sz w:val="24"/>
          <w:szCs w:val="24"/>
        </w:rPr>
      </w:pPr>
    </w:p>
    <w:p w14:paraId="2956396A">
      <w:pPr>
        <w:spacing w:after="0" w:line="900" w:lineRule="exact"/>
        <w:jc w:val="center"/>
        <w:outlineLvl w:val="1"/>
        <w:rPr>
          <w:rFonts w:ascii="宋体" w:hAnsi="宋体" w:eastAsia="宋体" w:cs="@仿宋_GB2312"/>
          <w:b/>
          <w:color w:val="auto"/>
          <w:kern w:val="2"/>
          <w:sz w:val="72"/>
          <w:szCs w:val="20"/>
          <w:highlight w:val="none"/>
          <w:lang w:eastAsia="zh-CN"/>
        </w:rPr>
      </w:pPr>
      <w:bookmarkStart w:id="177" w:name="_Toc651"/>
      <w:bookmarkStart w:id="178" w:name="_Toc60582630"/>
      <w:r>
        <w:rPr>
          <w:rFonts w:hint="eastAsia" w:ascii="宋体" w:hAnsi="宋体" w:eastAsia="宋体" w:cs="@仿宋_GB2312"/>
          <w:b/>
          <w:color w:val="auto"/>
          <w:kern w:val="2"/>
          <w:sz w:val="72"/>
          <w:szCs w:val="20"/>
          <w:highlight w:val="none"/>
          <w:lang w:eastAsia="zh-CN"/>
        </w:rPr>
        <w:t>投</w:t>
      </w:r>
      <w:bookmarkEnd w:id="177"/>
    </w:p>
    <w:p w14:paraId="342CC57E">
      <w:pPr>
        <w:spacing w:after="0" w:line="900" w:lineRule="exact"/>
        <w:jc w:val="center"/>
        <w:rPr>
          <w:rFonts w:ascii="宋体" w:hAnsi="宋体" w:eastAsia="宋体" w:cs="@仿宋_GB2312"/>
          <w:b/>
          <w:color w:val="auto"/>
          <w:kern w:val="2"/>
          <w:sz w:val="72"/>
          <w:szCs w:val="20"/>
          <w:highlight w:val="none"/>
          <w:lang w:eastAsia="zh-CN"/>
        </w:rPr>
      </w:pPr>
    </w:p>
    <w:p w14:paraId="02DAA2D2">
      <w:pPr>
        <w:spacing w:after="0" w:line="900" w:lineRule="exact"/>
        <w:jc w:val="center"/>
        <w:outlineLvl w:val="1"/>
        <w:rPr>
          <w:rFonts w:ascii="宋体" w:hAnsi="宋体" w:eastAsia="宋体" w:cs="@仿宋_GB2312"/>
          <w:b/>
          <w:color w:val="auto"/>
          <w:kern w:val="2"/>
          <w:sz w:val="72"/>
          <w:szCs w:val="20"/>
          <w:highlight w:val="none"/>
          <w:lang w:eastAsia="zh-CN"/>
        </w:rPr>
      </w:pPr>
      <w:bookmarkStart w:id="179" w:name="_Toc6148"/>
      <w:r>
        <w:rPr>
          <w:rFonts w:hint="eastAsia" w:ascii="宋体" w:hAnsi="宋体" w:eastAsia="宋体" w:cs="@仿宋_GB2312"/>
          <w:b/>
          <w:color w:val="auto"/>
          <w:kern w:val="2"/>
          <w:sz w:val="72"/>
          <w:szCs w:val="20"/>
          <w:highlight w:val="none"/>
          <w:lang w:eastAsia="zh-CN"/>
        </w:rPr>
        <w:t>标</w:t>
      </w:r>
      <w:bookmarkEnd w:id="179"/>
    </w:p>
    <w:p w14:paraId="00F11289">
      <w:pPr>
        <w:spacing w:after="0" w:line="900" w:lineRule="exact"/>
        <w:jc w:val="center"/>
        <w:rPr>
          <w:rFonts w:ascii="宋体" w:hAnsi="宋体" w:eastAsia="宋体" w:cs="@仿宋_GB2312"/>
          <w:b/>
          <w:color w:val="auto"/>
          <w:kern w:val="2"/>
          <w:sz w:val="72"/>
          <w:szCs w:val="20"/>
          <w:highlight w:val="none"/>
          <w:lang w:eastAsia="zh-CN"/>
        </w:rPr>
      </w:pPr>
    </w:p>
    <w:p w14:paraId="2E748CD7">
      <w:pPr>
        <w:spacing w:after="0" w:line="900" w:lineRule="exact"/>
        <w:jc w:val="center"/>
        <w:outlineLvl w:val="1"/>
        <w:rPr>
          <w:rFonts w:ascii="宋体" w:hAnsi="宋体" w:eastAsia="宋体" w:cs="@仿宋_GB2312"/>
          <w:b/>
          <w:color w:val="auto"/>
          <w:kern w:val="2"/>
          <w:sz w:val="72"/>
          <w:szCs w:val="20"/>
          <w:highlight w:val="none"/>
          <w:lang w:eastAsia="zh-CN"/>
        </w:rPr>
      </w:pPr>
      <w:bookmarkStart w:id="180" w:name="_Toc1338"/>
      <w:r>
        <w:rPr>
          <w:rFonts w:hint="eastAsia" w:ascii="宋体" w:hAnsi="宋体" w:eastAsia="宋体" w:cs="@仿宋_GB2312"/>
          <w:b/>
          <w:color w:val="auto"/>
          <w:kern w:val="2"/>
          <w:sz w:val="72"/>
          <w:szCs w:val="20"/>
          <w:highlight w:val="none"/>
          <w:lang w:eastAsia="zh-CN"/>
        </w:rPr>
        <w:t>文</w:t>
      </w:r>
      <w:bookmarkEnd w:id="180"/>
    </w:p>
    <w:p w14:paraId="1A73549B">
      <w:pPr>
        <w:spacing w:after="0" w:line="900" w:lineRule="exact"/>
        <w:jc w:val="center"/>
        <w:rPr>
          <w:rFonts w:ascii="宋体" w:hAnsi="宋体" w:eastAsia="宋体" w:cs="@仿宋_GB2312"/>
          <w:b/>
          <w:color w:val="auto"/>
          <w:kern w:val="2"/>
          <w:sz w:val="72"/>
          <w:szCs w:val="20"/>
          <w:highlight w:val="none"/>
          <w:lang w:eastAsia="zh-CN"/>
        </w:rPr>
      </w:pPr>
    </w:p>
    <w:p w14:paraId="48FC238D">
      <w:pPr>
        <w:spacing w:after="0" w:line="240" w:lineRule="auto"/>
        <w:jc w:val="center"/>
        <w:outlineLvl w:val="1"/>
        <w:rPr>
          <w:rFonts w:ascii="宋体" w:hAnsi="宋体" w:eastAsia="宋体" w:cs="@仿宋_GB2312"/>
          <w:b/>
          <w:color w:val="auto"/>
          <w:kern w:val="2"/>
          <w:sz w:val="72"/>
          <w:szCs w:val="20"/>
          <w:highlight w:val="none"/>
          <w:lang w:eastAsia="zh-CN"/>
        </w:rPr>
      </w:pPr>
      <w:bookmarkStart w:id="181" w:name="_Toc10796"/>
      <w:r>
        <w:rPr>
          <w:rFonts w:hint="eastAsia" w:ascii="宋体" w:hAnsi="宋体" w:eastAsia="宋体" w:cs="@仿宋_GB2312"/>
          <w:b/>
          <w:color w:val="auto"/>
          <w:kern w:val="2"/>
          <w:sz w:val="72"/>
          <w:szCs w:val="20"/>
          <w:highlight w:val="none"/>
          <w:lang w:eastAsia="zh-CN"/>
        </w:rPr>
        <w:t>件</w:t>
      </w:r>
      <w:bookmarkEnd w:id="181"/>
    </w:p>
    <w:p w14:paraId="6AB4F40E">
      <w:pPr>
        <w:spacing w:after="156" w:afterLines="50" w:line="240" w:lineRule="auto"/>
        <w:jc w:val="center"/>
        <w:rPr>
          <w:rFonts w:ascii="宋体" w:hAnsi="宋体" w:eastAsia="宋体" w:cs="@仿宋_GB2312"/>
          <w:b/>
          <w:color w:val="auto"/>
          <w:kern w:val="2"/>
          <w:sz w:val="72"/>
          <w:szCs w:val="20"/>
          <w:highlight w:val="none"/>
          <w:lang w:eastAsia="zh-CN"/>
        </w:rPr>
      </w:pPr>
    </w:p>
    <w:p w14:paraId="74A3EE7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center"/>
        <w:textAlignment w:val="auto"/>
        <w:outlineLvl w:val="1"/>
        <w:rPr>
          <w:rFonts w:hint="default" w:ascii="宋体" w:hAnsi="宋体" w:eastAsia="宋体" w:cs="@微软简标宋"/>
          <w:color w:val="auto"/>
          <w:kern w:val="2"/>
          <w:sz w:val="24"/>
          <w:szCs w:val="18"/>
          <w:highlight w:val="none"/>
          <w:lang w:val="en-US" w:eastAsia="zh-CN" w:bidi="ar-SA"/>
        </w:rPr>
      </w:pPr>
    </w:p>
    <w:p w14:paraId="1D58839C">
      <w:pPr>
        <w:spacing w:before="156" w:beforeLines="50" w:after="156" w:afterLines="50" w:line="240" w:lineRule="auto"/>
        <w:jc w:val="center"/>
        <w:outlineLvl w:val="9"/>
        <w:rPr>
          <w:rFonts w:ascii="宋体" w:hAnsi="宋体" w:eastAsia="宋体" w:cs="@仿宋_GB2312"/>
          <w:b/>
          <w:color w:val="auto"/>
          <w:kern w:val="2"/>
          <w:sz w:val="32"/>
          <w:szCs w:val="32"/>
          <w:highlight w:val="none"/>
          <w:lang w:eastAsia="zh-CN"/>
        </w:rPr>
      </w:pPr>
    </w:p>
    <w:p w14:paraId="1E256AC9">
      <w:pPr>
        <w:spacing w:after="156" w:afterLines="50" w:line="500" w:lineRule="exact"/>
        <w:jc w:val="center"/>
        <w:rPr>
          <w:rFonts w:ascii="宋体" w:hAnsi="宋体" w:eastAsia="宋体" w:cs="@仿宋_GB2312"/>
          <w:b/>
          <w:color w:val="auto"/>
          <w:kern w:val="2"/>
          <w:sz w:val="28"/>
          <w:szCs w:val="28"/>
          <w:highlight w:val="none"/>
          <w:lang w:eastAsia="zh-CN"/>
        </w:rPr>
      </w:pPr>
    </w:p>
    <w:p w14:paraId="2BC261CB">
      <w:pPr>
        <w:tabs>
          <w:tab w:val="left" w:pos="2410"/>
        </w:tabs>
        <w:autoSpaceDE w:val="0"/>
        <w:autoSpaceDN w:val="0"/>
        <w:adjustRightInd w:val="0"/>
        <w:snapToGrid w:val="0"/>
        <w:spacing w:after="0" w:line="360" w:lineRule="auto"/>
        <w:ind w:firstLine="643" w:firstLineChars="200"/>
        <w:jc w:val="both"/>
        <w:outlineLvl w:val="9"/>
        <w:rPr>
          <w:rFonts w:hint="default" w:ascii="宋体" w:hAnsi="宋体" w:eastAsia="宋体" w:cs="@仿宋_GB2312"/>
          <w:b/>
          <w:color w:val="auto"/>
          <w:spacing w:val="20"/>
          <w:kern w:val="0"/>
          <w:sz w:val="32"/>
          <w:szCs w:val="32"/>
          <w:highlight w:val="none"/>
          <w:lang w:val="en-US" w:eastAsia="zh-CN"/>
        </w:rPr>
      </w:pPr>
      <w:r>
        <w:rPr>
          <w:rFonts w:hint="eastAsia" w:ascii="宋体" w:hAnsi="宋体" w:eastAsia="宋体" w:cs="@仿宋_GB2312"/>
          <w:b/>
          <w:color w:val="auto"/>
          <w:kern w:val="2"/>
          <w:sz w:val="32"/>
          <w:szCs w:val="20"/>
          <w:highlight w:val="none"/>
          <w:lang w:eastAsia="zh-CN"/>
        </w:rPr>
        <w:t>项目名称：</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u w:val="single"/>
          <w:lang w:val="en-US" w:eastAsia="zh-CN"/>
        </w:rPr>
        <w:t xml:space="preserve">   </w:t>
      </w:r>
      <w:r>
        <w:rPr>
          <w:rFonts w:hint="eastAsia" w:ascii="宋体" w:hAnsi="宋体" w:eastAsia="宋体" w:cs="@仿宋_GB2312"/>
          <w:b/>
          <w:color w:val="auto"/>
          <w:kern w:val="2"/>
          <w:sz w:val="32"/>
          <w:szCs w:val="20"/>
          <w:highlight w:val="none"/>
          <w:u w:val="single"/>
          <w:lang w:eastAsia="zh-CN"/>
        </w:rPr>
        <w:t xml:space="preserve">    </w:t>
      </w:r>
    </w:p>
    <w:p w14:paraId="72C72800">
      <w:pPr>
        <w:tabs>
          <w:tab w:val="left" w:pos="2410"/>
        </w:tabs>
        <w:autoSpaceDE w:val="0"/>
        <w:autoSpaceDN w:val="0"/>
        <w:adjustRightInd w:val="0"/>
        <w:snapToGrid w:val="0"/>
        <w:spacing w:after="0" w:line="360" w:lineRule="auto"/>
        <w:ind w:firstLine="643" w:firstLineChars="200"/>
        <w:jc w:val="both"/>
        <w:outlineLvl w:val="9"/>
        <w:rPr>
          <w:rFonts w:hint="eastAsia" w:ascii="宋体" w:hAnsi="宋体" w:eastAsia="宋体" w:cs="@仿宋_GB2312"/>
          <w:b/>
          <w:color w:val="auto"/>
          <w:kern w:val="2"/>
          <w:sz w:val="32"/>
          <w:szCs w:val="20"/>
          <w:highlight w:val="none"/>
          <w:u w:val="single"/>
          <w:lang w:eastAsia="zh-CN"/>
        </w:rPr>
      </w:pPr>
      <w:r>
        <w:rPr>
          <w:rFonts w:hint="eastAsia" w:ascii="宋体" w:hAnsi="宋体" w:eastAsia="宋体" w:cs="@仿宋_GB2312"/>
          <w:b/>
          <w:color w:val="auto"/>
          <w:kern w:val="2"/>
          <w:sz w:val="32"/>
          <w:szCs w:val="20"/>
          <w:highlight w:val="none"/>
          <w:lang w:eastAsia="zh-CN"/>
        </w:rPr>
        <w:t>项目编号：</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u w:val="single"/>
          <w:lang w:val="en-US" w:eastAsia="zh-CN"/>
        </w:rPr>
        <w:t xml:space="preserve">   </w:t>
      </w:r>
      <w:r>
        <w:rPr>
          <w:rFonts w:hint="eastAsia" w:ascii="宋体" w:hAnsi="宋体" w:eastAsia="宋体" w:cs="@仿宋_GB2312"/>
          <w:b/>
          <w:color w:val="auto"/>
          <w:kern w:val="2"/>
          <w:sz w:val="32"/>
          <w:szCs w:val="20"/>
          <w:highlight w:val="none"/>
          <w:u w:val="single"/>
          <w:lang w:eastAsia="zh-CN"/>
        </w:rPr>
        <w:t xml:space="preserve">  </w:t>
      </w:r>
    </w:p>
    <w:p w14:paraId="38044697">
      <w:pPr>
        <w:tabs>
          <w:tab w:val="left" w:pos="2410"/>
        </w:tabs>
        <w:autoSpaceDE w:val="0"/>
        <w:autoSpaceDN w:val="0"/>
        <w:adjustRightInd w:val="0"/>
        <w:snapToGrid w:val="0"/>
        <w:spacing w:after="0" w:line="360" w:lineRule="auto"/>
        <w:ind w:firstLine="643" w:firstLineChars="200"/>
        <w:jc w:val="both"/>
        <w:outlineLvl w:val="9"/>
        <w:rPr>
          <w:rFonts w:ascii="宋体" w:hAnsi="宋体" w:eastAsia="宋体" w:cs="@仿宋_GB2312"/>
          <w:b/>
          <w:color w:val="auto"/>
          <w:kern w:val="2"/>
          <w:sz w:val="32"/>
          <w:szCs w:val="20"/>
          <w:highlight w:val="none"/>
          <w:u w:val="single"/>
          <w:lang w:eastAsia="zh-CN"/>
        </w:rPr>
      </w:pPr>
      <w:r>
        <w:rPr>
          <w:rFonts w:hint="eastAsia" w:ascii="宋体" w:hAnsi="宋体" w:eastAsia="宋体" w:cs="@仿宋_GB2312"/>
          <w:b/>
          <w:color w:val="auto"/>
          <w:kern w:val="2"/>
          <w:sz w:val="32"/>
          <w:szCs w:val="20"/>
          <w:highlight w:val="none"/>
          <w:lang w:val="en-US" w:eastAsia="zh-CN"/>
        </w:rPr>
        <w:t xml:space="preserve">投 </w:t>
      </w:r>
      <w:r>
        <w:rPr>
          <w:rFonts w:hint="eastAsia" w:ascii="宋体" w:hAnsi="宋体" w:eastAsia="宋体" w:cs="@仿宋_GB2312"/>
          <w:b/>
          <w:color w:val="auto"/>
          <w:kern w:val="2"/>
          <w:sz w:val="32"/>
          <w:szCs w:val="20"/>
          <w:highlight w:val="none"/>
          <w:lang w:eastAsia="zh-CN"/>
        </w:rPr>
        <w:t>标</w:t>
      </w:r>
      <w:r>
        <w:rPr>
          <w:rFonts w:hint="eastAsia" w:ascii="宋体" w:hAnsi="宋体" w:eastAsia="宋体" w:cs="@仿宋_GB2312"/>
          <w:b/>
          <w:color w:val="auto"/>
          <w:kern w:val="2"/>
          <w:sz w:val="32"/>
          <w:szCs w:val="20"/>
          <w:highlight w:val="none"/>
          <w:lang w:val="en-US" w:eastAsia="zh-CN"/>
        </w:rPr>
        <w:t xml:space="preserve"> </w:t>
      </w:r>
      <w:r>
        <w:rPr>
          <w:rFonts w:hint="eastAsia" w:ascii="宋体" w:hAnsi="宋体" w:eastAsia="宋体" w:cs="@仿宋_GB2312"/>
          <w:b/>
          <w:color w:val="auto"/>
          <w:kern w:val="2"/>
          <w:sz w:val="32"/>
          <w:szCs w:val="20"/>
          <w:highlight w:val="none"/>
          <w:lang w:eastAsia="zh-CN"/>
        </w:rPr>
        <w:t>人：</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u w:val="single"/>
          <w:lang w:val="en-US" w:eastAsia="zh-CN"/>
        </w:rPr>
        <w:t xml:space="preserve">   </w:t>
      </w:r>
      <w:r>
        <w:rPr>
          <w:rFonts w:hint="eastAsia" w:ascii="宋体" w:hAnsi="宋体" w:eastAsia="宋体" w:cs="@仿宋_GB2312"/>
          <w:b/>
          <w:color w:val="auto"/>
          <w:kern w:val="2"/>
          <w:sz w:val="32"/>
          <w:szCs w:val="20"/>
          <w:highlight w:val="none"/>
          <w:u w:val="single"/>
          <w:lang w:eastAsia="zh-CN"/>
        </w:rPr>
        <w:t xml:space="preserve">    </w:t>
      </w:r>
    </w:p>
    <w:p w14:paraId="1006F0A4">
      <w:pPr>
        <w:spacing w:after="156" w:afterLines="50" w:line="500" w:lineRule="exact"/>
        <w:jc w:val="center"/>
        <w:outlineLvl w:val="1"/>
        <w:rPr>
          <w:rFonts w:ascii="宋体" w:hAnsi="宋体" w:eastAsia="宋体" w:cs="@仿宋_GB2312"/>
          <w:b/>
          <w:color w:val="auto"/>
          <w:kern w:val="2"/>
          <w:sz w:val="32"/>
          <w:szCs w:val="20"/>
          <w:highlight w:val="none"/>
          <w:lang w:eastAsia="zh-CN"/>
        </w:rPr>
      </w:pPr>
      <w:r>
        <w:rPr>
          <w:rFonts w:hint="eastAsia" w:ascii="宋体" w:hAnsi="宋体" w:eastAsia="宋体" w:cs="@仿宋_GB2312"/>
          <w:b/>
          <w:color w:val="auto"/>
          <w:kern w:val="2"/>
          <w:sz w:val="32"/>
          <w:szCs w:val="20"/>
          <w:highlight w:val="none"/>
          <w:u w:val="single"/>
          <w:lang w:eastAsia="zh-CN"/>
        </w:rPr>
        <w:t xml:space="preserve">  </w:t>
      </w:r>
      <w:bookmarkStart w:id="182" w:name="_Toc9994"/>
      <w:bookmarkStart w:id="183" w:name="_Toc8037"/>
      <w:r>
        <w:rPr>
          <w:rFonts w:hint="eastAsia" w:ascii="宋体" w:hAnsi="宋体" w:eastAsia="宋体" w:cs="@仿宋_GB2312"/>
          <w:b/>
          <w:color w:val="auto"/>
          <w:kern w:val="2"/>
          <w:sz w:val="32"/>
          <w:szCs w:val="20"/>
          <w:highlight w:val="none"/>
          <w:lang w:eastAsia="zh-CN"/>
        </w:rPr>
        <w:t>年</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lang w:eastAsia="zh-CN"/>
        </w:rPr>
        <w:t>月</w:t>
      </w:r>
      <w:r>
        <w:rPr>
          <w:rFonts w:hint="eastAsia" w:ascii="宋体" w:hAnsi="宋体" w:eastAsia="宋体" w:cs="@仿宋_GB2312"/>
          <w:b/>
          <w:color w:val="auto"/>
          <w:kern w:val="2"/>
          <w:sz w:val="32"/>
          <w:szCs w:val="20"/>
          <w:highlight w:val="none"/>
          <w:u w:val="single"/>
          <w:lang w:eastAsia="zh-CN"/>
        </w:rPr>
        <w:t xml:space="preserve">  </w:t>
      </w:r>
      <w:r>
        <w:rPr>
          <w:rFonts w:hint="eastAsia" w:ascii="宋体" w:hAnsi="宋体" w:eastAsia="宋体" w:cs="@仿宋_GB2312"/>
          <w:b/>
          <w:color w:val="auto"/>
          <w:kern w:val="2"/>
          <w:sz w:val="32"/>
          <w:szCs w:val="20"/>
          <w:highlight w:val="none"/>
          <w:lang w:eastAsia="zh-CN"/>
        </w:rPr>
        <w:t>日</w:t>
      </w:r>
      <w:bookmarkEnd w:id="182"/>
      <w:bookmarkEnd w:id="183"/>
    </w:p>
    <w:p w14:paraId="5045B459">
      <w:pPr>
        <w:widowControl/>
        <w:spacing w:after="0" w:line="240" w:lineRule="auto"/>
        <w:jc w:val="left"/>
        <w:rPr>
          <w:rFonts w:ascii="宋体" w:hAnsi="宋体" w:eastAsia="宋体" w:cs="@仿宋_GB2312"/>
          <w:b/>
          <w:color w:val="auto"/>
          <w:kern w:val="2"/>
          <w:sz w:val="28"/>
          <w:szCs w:val="20"/>
          <w:highlight w:val="none"/>
          <w:lang w:eastAsia="zh-CN"/>
        </w:rPr>
      </w:pPr>
      <w:r>
        <w:rPr>
          <w:rFonts w:ascii="宋体" w:hAnsi="宋体" w:eastAsia="宋体" w:cs="@仿宋_GB2312"/>
          <w:b/>
          <w:color w:val="auto"/>
          <w:kern w:val="2"/>
          <w:sz w:val="28"/>
          <w:szCs w:val="20"/>
          <w:highlight w:val="none"/>
          <w:lang w:eastAsia="zh-CN"/>
        </w:rPr>
        <w:br w:type="page"/>
      </w:r>
    </w:p>
    <w:p w14:paraId="43E73C8B">
      <w:pPr>
        <w:pStyle w:val="55"/>
        <w:keepNext w:val="0"/>
        <w:keepLines w:val="0"/>
        <w:pageBreakBefore w:val="0"/>
        <w:widowControl w:val="0"/>
        <w:kinsoku/>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sz w:val="36"/>
          <w:szCs w:val="36"/>
          <w:highlight w:val="none"/>
        </w:rPr>
      </w:pPr>
      <w:bookmarkStart w:id="184" w:name="_Toc6441"/>
      <w:bookmarkStart w:id="185" w:name="_Toc18010"/>
      <w:r>
        <w:rPr>
          <w:rFonts w:hint="eastAsia" w:ascii="宋体" w:hAnsi="宋体" w:eastAsia="宋体" w:cs="宋体"/>
          <w:color w:val="auto"/>
          <w:sz w:val="36"/>
          <w:szCs w:val="36"/>
          <w:highlight w:val="none"/>
        </w:rPr>
        <w:t>目　　录</w:t>
      </w:r>
    </w:p>
    <w:p w14:paraId="204D00D2">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一、资格、技术及商务部分</w:t>
      </w:r>
    </w:p>
    <w:p w14:paraId="4BA17255">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 w:val="0"/>
          <w:bCs/>
          <w:color w:val="auto"/>
          <w:kern w:val="2"/>
          <w:sz w:val="24"/>
          <w:szCs w:val="24"/>
          <w:highlight w:val="none"/>
          <w:lang w:val="en-US" w:eastAsia="en-US" w:bidi="ar-SA"/>
        </w:rPr>
        <w:t>投标函</w:t>
      </w:r>
    </w:p>
    <w:p w14:paraId="57D63F08">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 xml:space="preserve">2.投标人资格声明书 </w:t>
      </w:r>
    </w:p>
    <w:p w14:paraId="5D1EABC7">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3.授权书</w:t>
      </w:r>
    </w:p>
    <w:p w14:paraId="5967E9A7">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eastAsia="宋体" w:cs="宋体"/>
          <w:b w:val="0"/>
          <w:bCs/>
          <w:color w:val="auto"/>
          <w:kern w:val="2"/>
          <w:sz w:val="24"/>
          <w:szCs w:val="24"/>
          <w:highlight w:val="none"/>
          <w:lang w:val="en-US" w:eastAsia="en-US" w:bidi="ar-SA"/>
        </w:rPr>
        <w:t>项目实施方案</w:t>
      </w:r>
    </w:p>
    <w:p w14:paraId="21122751">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5.投标响应表</w:t>
      </w:r>
    </w:p>
    <w:p w14:paraId="559E40A4">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中小企业声明函</w:t>
      </w:r>
    </w:p>
    <w:p w14:paraId="796127EB">
      <w:pPr>
        <w:keepNext w:val="0"/>
        <w:keepLines w:val="0"/>
        <w:pageBreakBefore w:val="0"/>
        <w:widowControl w:val="0"/>
        <w:kinsoku/>
        <w:overflowPunct/>
        <w:topLinePunct w:val="0"/>
        <w:autoSpaceDE/>
        <w:autoSpaceDN/>
        <w:bidi w:val="0"/>
        <w:adjustRightInd/>
        <w:snapToGrid w:val="0"/>
        <w:spacing w:after="0" w:line="384"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en-US"/>
        </w:rPr>
        <w:t>残疾人福利性单位声明函</w:t>
      </w:r>
    </w:p>
    <w:p w14:paraId="2EA12389">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8.</w:t>
      </w:r>
      <w:r>
        <w:rPr>
          <w:rFonts w:hint="eastAsia" w:ascii="宋体" w:hAnsi="宋体" w:eastAsia="宋体" w:cs="宋体"/>
          <w:b w:val="0"/>
          <w:bCs/>
          <w:color w:val="auto"/>
          <w:kern w:val="2"/>
          <w:sz w:val="24"/>
          <w:szCs w:val="24"/>
          <w:highlight w:val="none"/>
          <w:lang w:val="en-US" w:eastAsia="en-US" w:bidi="ar-SA"/>
        </w:rPr>
        <w:t>履行合同所必需的设备专业技术能力证明文件</w:t>
      </w:r>
    </w:p>
    <w:p w14:paraId="710B1ED9">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9.投标业绩承诺函</w:t>
      </w:r>
      <w:r>
        <w:rPr>
          <w:rFonts w:hint="eastAsia" w:ascii="宋体" w:hAnsi="宋体" w:eastAsia="宋体" w:cs="宋体"/>
          <w:b w:val="0"/>
          <w:bCs/>
          <w:color w:val="auto"/>
          <w:kern w:val="2"/>
          <w:sz w:val="24"/>
          <w:szCs w:val="24"/>
          <w:highlight w:val="none"/>
          <w:lang w:val="en-US" w:eastAsia="en-US" w:bidi="ar-SA"/>
        </w:rPr>
        <w:t>（如有）</w:t>
      </w:r>
    </w:p>
    <w:p w14:paraId="1C36C521">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eastAsia" w:ascii="宋体" w:hAnsi="宋体" w:eastAsia="宋体" w:cs="宋体"/>
          <w:b w:val="0"/>
          <w:bCs/>
          <w:color w:val="auto"/>
          <w:kern w:val="2"/>
          <w:sz w:val="24"/>
          <w:szCs w:val="24"/>
          <w:highlight w:val="none"/>
          <w:lang w:val="en-US" w:eastAsia="en-US" w:bidi="ar-SA"/>
        </w:rPr>
      </w:pPr>
      <w:r>
        <w:rPr>
          <w:rFonts w:hint="eastAsia" w:ascii="宋体" w:hAnsi="宋体" w:eastAsia="宋体" w:cs="宋体"/>
          <w:b w:val="0"/>
          <w:bCs/>
          <w:color w:val="auto"/>
          <w:kern w:val="2"/>
          <w:sz w:val="24"/>
          <w:szCs w:val="24"/>
          <w:highlight w:val="none"/>
          <w:lang w:val="en-US" w:eastAsia="zh-CN" w:bidi="ar-SA"/>
        </w:rPr>
        <w:t>10.</w:t>
      </w:r>
      <w:r>
        <w:rPr>
          <w:rFonts w:hint="eastAsia" w:ascii="宋体" w:hAnsi="宋体" w:eastAsia="宋体" w:cs="宋体"/>
          <w:b w:val="0"/>
          <w:bCs/>
          <w:color w:val="auto"/>
          <w:kern w:val="2"/>
          <w:sz w:val="24"/>
          <w:szCs w:val="24"/>
          <w:highlight w:val="none"/>
          <w:lang w:val="en-US" w:eastAsia="en-US" w:bidi="ar-SA"/>
        </w:rPr>
        <w:t>业绩合同（如有）</w:t>
      </w:r>
    </w:p>
    <w:p w14:paraId="4633413B">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11.诚信履约承诺函</w:t>
      </w:r>
    </w:p>
    <w:p w14:paraId="3F716A2D">
      <w:pPr>
        <w:keepNext w:val="0"/>
        <w:keepLines w:val="0"/>
        <w:pageBreakBefore w:val="0"/>
        <w:widowControl w:val="0"/>
        <w:kinsoku/>
        <w:wordWrap w:val="0"/>
        <w:overflowPunct/>
        <w:topLinePunct w:val="0"/>
        <w:autoSpaceDE/>
        <w:autoSpaceDN/>
        <w:bidi w:val="0"/>
        <w:adjustRightInd/>
        <w:snapToGrid w:val="0"/>
        <w:spacing w:after="0" w:line="384" w:lineRule="auto"/>
        <w:ind w:firstLine="0" w:firstLineChars="0"/>
        <w:jc w:val="both"/>
        <w:textAlignment w:val="auto"/>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12.资格、技术及商务部分需要的其他相关证明材料</w:t>
      </w:r>
    </w:p>
    <w:p w14:paraId="06A36171">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二、报价部分</w:t>
      </w:r>
    </w:p>
    <w:p w14:paraId="45D02747">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eastAsia="zh-CN"/>
        </w:rPr>
        <w:t>开标一览表</w:t>
      </w:r>
    </w:p>
    <w:p w14:paraId="044A6068">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lang w:eastAsia="zh-CN"/>
        </w:rPr>
        <w:t>投标分项报价表</w:t>
      </w:r>
    </w:p>
    <w:p w14:paraId="0F84FC7B">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主要中标标的承诺函</w:t>
      </w:r>
    </w:p>
    <w:p w14:paraId="1AF56E92">
      <w:pPr>
        <w:pStyle w:val="55"/>
        <w:keepNext w:val="0"/>
        <w:keepLines w:val="0"/>
        <w:pageBreakBefore w:val="0"/>
        <w:widowControl w:val="0"/>
        <w:kinsoku/>
        <w:wordWrap w:val="0"/>
        <w:overflowPunct/>
        <w:topLinePunct w:val="0"/>
        <w:autoSpaceDE/>
        <w:autoSpaceDN/>
        <w:bidi w:val="0"/>
        <w:adjustRightInd/>
        <w:snapToGrid w:val="0"/>
        <w:spacing w:line="384" w:lineRule="auto"/>
        <w:ind w:firstLine="0" w:firstLineChars="0"/>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4.报价部分需要的其他相关证明材料</w:t>
      </w:r>
    </w:p>
    <w:p w14:paraId="5321F20C">
      <w:pPr>
        <w:pStyle w:val="55"/>
        <w:keepNext w:val="0"/>
        <w:keepLines w:val="0"/>
        <w:pageBreakBefore w:val="0"/>
        <w:widowControl w:val="0"/>
        <w:kinsoku/>
        <w:wordWrap w:val="0"/>
        <w:overflowPunct/>
        <w:topLinePunct w:val="0"/>
        <w:autoSpaceDE/>
        <w:autoSpaceDN/>
        <w:bidi w:val="0"/>
        <w:adjustRightInd/>
        <w:snapToGrid w:val="0"/>
        <w:spacing w:line="480" w:lineRule="auto"/>
        <w:ind w:firstLine="0" w:firstLineChars="0"/>
        <w:textAlignment w:val="auto"/>
        <w:rPr>
          <w:rFonts w:hint="eastAsia" w:ascii="宋体" w:hAnsi="宋体" w:eastAsia="宋体" w:cs="宋体"/>
          <w:b w:val="0"/>
          <w:color w:val="auto"/>
          <w:sz w:val="24"/>
          <w:szCs w:val="24"/>
          <w:highlight w:val="none"/>
          <w:lang w:val="en-US" w:eastAsia="zh-CN"/>
        </w:rPr>
      </w:pPr>
    </w:p>
    <w:p w14:paraId="43AFE23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33BB5ED6">
      <w:pPr>
        <w:pStyle w:val="55"/>
        <w:keepNext w:val="0"/>
        <w:keepLines w:val="0"/>
        <w:pageBreakBefore w:val="0"/>
        <w:widowControl w:val="0"/>
        <w:kinsoku/>
        <w:wordWrap w:val="0"/>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资格、技术商务部分</w:t>
      </w:r>
    </w:p>
    <w:p w14:paraId="766207C4">
      <w:pPr>
        <w:spacing w:after="0" w:line="360" w:lineRule="auto"/>
        <w:jc w:val="center"/>
        <w:outlineLvl w:val="1"/>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val="en-US" w:eastAsia="zh-CN"/>
        </w:rPr>
        <w:t>1.</w:t>
      </w:r>
      <w:r>
        <w:rPr>
          <w:rFonts w:hint="eastAsia" w:ascii="宋体" w:hAnsi="宋体" w:eastAsia="宋体" w:cs="@仿宋_GB2312"/>
          <w:b/>
          <w:color w:val="auto"/>
          <w:kern w:val="2"/>
          <w:sz w:val="24"/>
          <w:szCs w:val="20"/>
          <w:highlight w:val="none"/>
          <w:lang w:eastAsia="zh-CN"/>
        </w:rPr>
        <w:t>投标函</w:t>
      </w:r>
      <w:bookmarkEnd w:id="184"/>
      <w:bookmarkEnd w:id="185"/>
    </w:p>
    <w:p w14:paraId="39E68F2C">
      <w:pPr>
        <w:widowControl w:val="0"/>
        <w:spacing w:line="360" w:lineRule="auto"/>
        <w:jc w:val="both"/>
        <w:rPr>
          <w:rFonts w:hint="eastAsia" w:ascii="宋体" w:hAnsi="宋体" w:eastAsia="宋体" w:cs="Arial"/>
          <w:b/>
          <w:color w:val="auto"/>
          <w:kern w:val="2"/>
          <w:sz w:val="24"/>
          <w:highlight w:val="none"/>
          <w:u w:val="single"/>
          <w:lang w:val="en-US" w:eastAsia="zh-CN" w:bidi="ar-SA"/>
        </w:rPr>
      </w:pPr>
      <w:r>
        <w:rPr>
          <w:rFonts w:hint="eastAsia" w:ascii="宋体" w:hAnsi="宋体" w:eastAsia="宋体" w:cs="Arial"/>
          <w:b/>
          <w:color w:val="auto"/>
          <w:kern w:val="2"/>
          <w:sz w:val="24"/>
          <w:highlight w:val="none"/>
          <w:lang w:val="en-US" w:eastAsia="zh-CN" w:bidi="ar-SA"/>
        </w:rPr>
        <w:t>致：</w:t>
      </w:r>
      <w:r>
        <w:rPr>
          <w:rFonts w:hint="eastAsia" w:ascii="宋体" w:hAnsi="宋体" w:eastAsia="宋体" w:cs="Arial"/>
          <w:b/>
          <w:color w:val="auto"/>
          <w:kern w:val="2"/>
          <w:sz w:val="24"/>
          <w:highlight w:val="none"/>
          <w:u w:val="single"/>
          <w:lang w:val="en-US" w:eastAsia="zh-CN" w:bidi="ar-SA"/>
        </w:rPr>
        <w:t>采购人</w:t>
      </w:r>
    </w:p>
    <w:p w14:paraId="7C17CD14">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根据贵方的招标公告和投标邀请，我方兹宣布同意如下：</w:t>
      </w:r>
    </w:p>
    <w:p w14:paraId="18F6F509">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1</w:t>
      </w:r>
      <w:r>
        <w:rPr>
          <w:rFonts w:hint="eastAsia" w:ascii="宋体" w:hAnsi="宋体" w:eastAsia="宋体" w:cs="@仿宋_GB2312"/>
          <w:color w:val="auto"/>
          <w:kern w:val="2"/>
          <w:sz w:val="24"/>
          <w:szCs w:val="20"/>
          <w:highlight w:val="none"/>
          <w:lang w:eastAsia="zh-CN"/>
        </w:rPr>
        <w:t>.</w:t>
      </w:r>
      <w:r>
        <w:rPr>
          <w:rFonts w:hint="eastAsia" w:ascii="宋体" w:hAnsi="宋体" w:eastAsia="宋体" w:cs="宋体"/>
          <w:color w:val="auto"/>
          <w:kern w:val="2"/>
          <w:sz w:val="24"/>
          <w:szCs w:val="24"/>
          <w:highlight w:val="none"/>
          <w:lang w:eastAsia="zh-CN"/>
        </w:rPr>
        <w:t>我方根据招标文件的规定，严格履行合同的责任和义务,并保证于买方要求的日期内完成，并通过买方验收。</w:t>
      </w:r>
    </w:p>
    <w:p w14:paraId="4E049FBF">
      <w:pPr>
        <w:spacing w:after="0" w:line="360" w:lineRule="auto"/>
        <w:ind w:firstLine="435"/>
        <w:jc w:val="both"/>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2</w:t>
      </w:r>
      <w:r>
        <w:rPr>
          <w:rFonts w:hint="eastAsia" w:ascii="宋体" w:hAnsi="宋体" w:eastAsia="宋体" w:cs="@仿宋_GB2312"/>
          <w:color w:val="auto"/>
          <w:kern w:val="2"/>
          <w:sz w:val="24"/>
          <w:szCs w:val="20"/>
          <w:highlight w:val="none"/>
          <w:lang w:eastAsia="zh-CN"/>
        </w:rPr>
        <w:t>.我方已详细审核全部招标文件，包括招标文件</w:t>
      </w:r>
      <w:r>
        <w:rPr>
          <w:rFonts w:hint="eastAsia" w:ascii="宋体" w:hAnsi="宋体" w:eastAsia="宋体" w:cs="@仿宋_GB2312"/>
          <w:color w:val="auto"/>
          <w:kern w:val="2"/>
          <w:sz w:val="24"/>
          <w:szCs w:val="20"/>
          <w:highlight w:val="none"/>
          <w:lang w:val="en-US" w:eastAsia="zh-CN"/>
        </w:rPr>
        <w:t>附件及更正公告（如有）</w:t>
      </w:r>
      <w:r>
        <w:rPr>
          <w:rFonts w:hint="eastAsia" w:ascii="宋体" w:hAnsi="宋体" w:eastAsia="宋体" w:cs="@仿宋_GB2312"/>
          <w:color w:val="auto"/>
          <w:kern w:val="2"/>
          <w:sz w:val="24"/>
          <w:szCs w:val="20"/>
          <w:highlight w:val="none"/>
          <w:lang w:eastAsia="zh-CN"/>
        </w:rPr>
        <w:t>，我方正式认可并遵守本次招标文件，并对招标文件各项条款、规定及要求均无异议。</w:t>
      </w:r>
    </w:p>
    <w:p w14:paraId="56D43F2A">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3</w:t>
      </w:r>
      <w:r>
        <w:rPr>
          <w:rFonts w:hint="eastAsia" w:ascii="宋体" w:hAnsi="宋体" w:eastAsia="宋体" w:cs="@仿宋_GB2312"/>
          <w:color w:val="auto"/>
          <w:kern w:val="2"/>
          <w:sz w:val="24"/>
          <w:szCs w:val="20"/>
          <w:highlight w:val="none"/>
          <w:lang w:eastAsia="zh-CN"/>
        </w:rPr>
        <w:t>.我方同意从招标文件规定的开标日期起遵循本招标文件，并在招标文件规定的投标有效期之前均具有约束力。</w:t>
      </w:r>
    </w:p>
    <w:p w14:paraId="09199BDE">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4</w:t>
      </w:r>
      <w:r>
        <w:rPr>
          <w:rFonts w:hint="eastAsia" w:ascii="宋体" w:hAnsi="宋体" w:eastAsia="宋体" w:cs="@仿宋_GB2312"/>
          <w:color w:val="auto"/>
          <w:kern w:val="2"/>
          <w:sz w:val="24"/>
          <w:szCs w:val="20"/>
          <w:highlight w:val="none"/>
          <w:lang w:eastAsia="zh-CN"/>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94E9483">
      <w:pPr>
        <w:spacing w:after="0" w:line="360" w:lineRule="auto"/>
        <w:ind w:firstLine="4800" w:firstLineChars="2000"/>
        <w:jc w:val="both"/>
        <w:rPr>
          <w:rFonts w:ascii="宋体" w:hAnsi="宋体" w:eastAsia="宋体" w:cs="@仿宋_GB2312"/>
          <w:color w:val="auto"/>
          <w:kern w:val="2"/>
          <w:sz w:val="24"/>
          <w:szCs w:val="20"/>
          <w:highlight w:val="none"/>
          <w:lang w:eastAsia="zh-CN"/>
        </w:rPr>
      </w:pPr>
    </w:p>
    <w:p w14:paraId="340B1A01">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7BFDCF9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4AB778F8">
      <w:pPr>
        <w:widowControl/>
        <w:spacing w:after="0" w:line="240" w:lineRule="auto"/>
        <w:jc w:val="left"/>
        <w:rPr>
          <w:rFonts w:ascii="宋体" w:hAnsi="宋体" w:eastAsia="宋体" w:cs="@仿宋_GB2312"/>
          <w:color w:val="auto"/>
          <w:kern w:val="2"/>
          <w:sz w:val="24"/>
          <w:szCs w:val="20"/>
          <w:highlight w:val="none"/>
          <w:u w:val="single"/>
          <w:lang w:eastAsia="zh-CN"/>
        </w:rPr>
      </w:pPr>
      <w:r>
        <w:rPr>
          <w:rFonts w:ascii="宋体" w:hAnsi="宋体" w:eastAsia="宋体" w:cs="@仿宋_GB2312"/>
          <w:color w:val="auto"/>
          <w:kern w:val="2"/>
          <w:sz w:val="24"/>
          <w:szCs w:val="20"/>
          <w:highlight w:val="none"/>
          <w:u w:val="single"/>
          <w:lang w:eastAsia="zh-CN"/>
        </w:rPr>
        <w:br w:type="page"/>
      </w:r>
    </w:p>
    <w:p w14:paraId="10ED7B0B">
      <w:pPr>
        <w:spacing w:after="0" w:line="360" w:lineRule="auto"/>
        <w:jc w:val="center"/>
        <w:outlineLvl w:val="1"/>
        <w:rPr>
          <w:rFonts w:hint="eastAsia" w:ascii="宋体" w:hAnsi="宋体" w:eastAsia="宋体" w:cs="@仿宋_GB2312"/>
          <w:b/>
          <w:color w:val="auto"/>
          <w:kern w:val="2"/>
          <w:sz w:val="24"/>
          <w:szCs w:val="20"/>
          <w:highlight w:val="none"/>
          <w:lang w:eastAsia="zh-CN"/>
        </w:rPr>
      </w:pPr>
      <w:bookmarkStart w:id="186" w:name="_Toc1328"/>
      <w:r>
        <w:rPr>
          <w:rFonts w:hint="eastAsia" w:ascii="宋体" w:hAnsi="宋体" w:eastAsia="宋体" w:cs="@仿宋_GB2312"/>
          <w:b/>
          <w:color w:val="auto"/>
          <w:kern w:val="2"/>
          <w:sz w:val="24"/>
          <w:szCs w:val="20"/>
          <w:highlight w:val="none"/>
          <w:lang w:val="en-US" w:eastAsia="zh-CN"/>
        </w:rPr>
        <w:t>2.投标人资格声明书</w:t>
      </w:r>
      <w:bookmarkEnd w:id="186"/>
      <w:r>
        <w:rPr>
          <w:rFonts w:hint="eastAsia" w:ascii="宋体" w:hAnsi="宋体" w:eastAsia="宋体" w:cs="@仿宋_GB2312"/>
          <w:b/>
          <w:color w:val="auto"/>
          <w:kern w:val="2"/>
          <w:sz w:val="24"/>
          <w:szCs w:val="20"/>
          <w:highlight w:val="none"/>
          <w:lang w:val="en-US" w:eastAsia="zh-CN"/>
        </w:rPr>
        <w:t xml:space="preserve"> </w:t>
      </w:r>
    </w:p>
    <w:p w14:paraId="68062D24">
      <w:pPr>
        <w:widowControl w:val="0"/>
        <w:spacing w:after="0" w:line="360" w:lineRule="auto"/>
        <w:jc w:val="both"/>
        <w:rPr>
          <w:rFonts w:hint="eastAsia" w:ascii="宋体" w:hAnsi="宋体" w:eastAsia="宋体" w:cs="宋体"/>
          <w:b/>
          <w:color w:val="auto"/>
          <w:kern w:val="2"/>
          <w:sz w:val="24"/>
          <w:szCs w:val="24"/>
          <w:highlight w:val="none"/>
          <w:lang w:val="en-US" w:eastAsia="zh-CN" w:bidi="ar-SA"/>
        </w:rPr>
      </w:pPr>
      <w:r>
        <w:rPr>
          <w:rFonts w:hint="eastAsia" w:ascii="宋体" w:hAnsi="宋体" w:eastAsia="宋体" w:cs="Arial"/>
          <w:b/>
          <w:color w:val="auto"/>
          <w:kern w:val="2"/>
          <w:sz w:val="24"/>
          <w:highlight w:val="none"/>
          <w:lang w:val="en-US" w:eastAsia="zh-CN" w:bidi="ar-SA"/>
        </w:rPr>
        <w:t>致：</w:t>
      </w:r>
      <w:r>
        <w:rPr>
          <w:rFonts w:hint="eastAsia" w:ascii="宋体" w:hAnsi="宋体" w:eastAsia="宋体" w:cs="Arial"/>
          <w:b/>
          <w:color w:val="auto"/>
          <w:kern w:val="2"/>
          <w:sz w:val="24"/>
          <w:highlight w:val="none"/>
          <w:u w:val="single"/>
          <w:lang w:val="en-US" w:eastAsia="zh-CN" w:bidi="ar-SA"/>
        </w:rPr>
        <w:t>采购人</w:t>
      </w:r>
    </w:p>
    <w:p w14:paraId="097ACADA">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在参与本次项目投标中，我单位承诺：</w:t>
      </w:r>
    </w:p>
    <w:p w14:paraId="52FA6C41">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（一）具有良好的商业信誉和健全的财务会计制度；</w:t>
      </w:r>
    </w:p>
    <w:p w14:paraId="1A229E27">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（二）具有履行合同所必需的设备和专业技术能力；</w:t>
      </w:r>
    </w:p>
    <w:p w14:paraId="6E0D27AA">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（三）有依法缴纳税收和社会保障资金的良好记录；</w:t>
      </w:r>
    </w:p>
    <w:p w14:paraId="0CA7CEC3">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29CB92">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（五）我单位不属于政府采购法律、行政法规规定的公益一类事业单位、或使用事业编制且由财政拨款保障的群团组织（仅适用于政府购买服务项目）；</w:t>
      </w:r>
    </w:p>
    <w:p w14:paraId="352FAE0B">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33111420">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11B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7092EFE6">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2841" w:type="dxa"/>
          </w:tcPr>
          <w:p w14:paraId="39F9C6ED">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单位名称</w:t>
            </w:r>
          </w:p>
        </w:tc>
        <w:tc>
          <w:tcPr>
            <w:tcW w:w="2841" w:type="dxa"/>
          </w:tcPr>
          <w:p w14:paraId="5F754D2B">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相互关系</w:t>
            </w:r>
          </w:p>
        </w:tc>
      </w:tr>
      <w:tr w14:paraId="583E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E2A39C">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1</w:t>
            </w:r>
          </w:p>
        </w:tc>
        <w:tc>
          <w:tcPr>
            <w:tcW w:w="2841" w:type="dxa"/>
          </w:tcPr>
          <w:p w14:paraId="5B4C2538">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tcPr>
          <w:p w14:paraId="7200D749">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94D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ECF13A">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2</w:t>
            </w:r>
          </w:p>
        </w:tc>
        <w:tc>
          <w:tcPr>
            <w:tcW w:w="2841" w:type="dxa"/>
          </w:tcPr>
          <w:p w14:paraId="0A70F4F7">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2841" w:type="dxa"/>
          </w:tcPr>
          <w:p w14:paraId="309BBD1C">
            <w:pPr>
              <w:keepNext w:val="0"/>
              <w:keepLines w:val="0"/>
              <w:pageBreakBefore w:val="0"/>
              <w:widowControl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134688A5">
      <w:pPr>
        <w:keepNext w:val="0"/>
        <w:keepLines w:val="0"/>
        <w:pageBreakBefore w:val="0"/>
        <w:widowControl/>
        <w:suppressLineNumbers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green"/>
          <w:lang w:val="en-US" w:eastAsia="zh-CN" w:bidi="ar"/>
        </w:rPr>
      </w:pPr>
      <w:r>
        <w:rPr>
          <w:rFonts w:hint="eastAsia" w:ascii="宋体" w:hAnsi="宋体" w:eastAsia="宋体" w:cs="宋体"/>
          <w:color w:val="auto"/>
          <w:kern w:val="0"/>
          <w:sz w:val="24"/>
          <w:szCs w:val="24"/>
          <w:highlight w:val="none"/>
          <w:lang w:val="en-US" w:eastAsia="en-US" w:bidi="ar"/>
        </w:rPr>
        <w:t>本单位对上述声明的真实性负责。如有虚假，</w:t>
      </w:r>
      <w:r>
        <w:rPr>
          <w:rFonts w:hint="eastAsia" w:ascii="宋体" w:hAnsi="宋体" w:eastAsia="宋体" w:cs="宋体"/>
          <w:color w:val="auto"/>
          <w:kern w:val="0"/>
          <w:sz w:val="24"/>
          <w:szCs w:val="24"/>
          <w:highlight w:val="none"/>
          <w:lang w:val="en-US" w:eastAsia="zh-CN" w:bidi="ar"/>
        </w:rPr>
        <w:t>将依法承担相应责任。</w:t>
      </w:r>
    </w:p>
    <w:p w14:paraId="18CC5A41">
      <w:pPr>
        <w:pStyle w:val="2"/>
        <w:rPr>
          <w:rFonts w:hint="eastAsia"/>
          <w:color w:val="auto"/>
          <w:lang w:eastAsia="zh-CN"/>
        </w:rPr>
      </w:pPr>
    </w:p>
    <w:p w14:paraId="10376DA9">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6DEB21BF">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3797CCD5">
      <w:pPr>
        <w:widowControl w:val="0"/>
        <w:spacing w:after="120"/>
        <w:jc w:val="both"/>
        <w:rPr>
          <w:rFonts w:hint="eastAsia" w:ascii="宋体" w:hAnsi="宋体" w:eastAsia="宋体" w:cs="宋体"/>
          <w:color w:val="auto"/>
          <w:kern w:val="0"/>
          <w:sz w:val="24"/>
          <w:szCs w:val="24"/>
          <w:highlight w:val="green"/>
          <w:lang w:val="en-US" w:eastAsia="zh-CN" w:bidi="ar"/>
        </w:rPr>
      </w:pPr>
    </w:p>
    <w:p w14:paraId="17243441">
      <w:pPr>
        <w:widowControl w:val="0"/>
        <w:spacing w:after="120"/>
        <w:jc w:val="both"/>
        <w:rPr>
          <w:rFonts w:hint="eastAsia" w:ascii="宋体" w:hAnsi="宋体" w:eastAsia="宋体" w:cs="宋体"/>
          <w:color w:val="auto"/>
          <w:kern w:val="0"/>
          <w:sz w:val="24"/>
          <w:szCs w:val="24"/>
          <w:lang w:val="en-US" w:eastAsia="zh-CN" w:bidi="ar"/>
        </w:rPr>
      </w:pPr>
    </w:p>
    <w:p w14:paraId="36080C48">
      <w:pPr>
        <w:widowControl w:val="0"/>
        <w:spacing w:after="120"/>
        <w:jc w:val="both"/>
        <w:rPr>
          <w:rFonts w:hint="eastAsia" w:ascii="宋体" w:hAnsi="宋体" w:eastAsia="宋体" w:cs="宋体"/>
          <w:color w:val="auto"/>
          <w:kern w:val="0"/>
          <w:sz w:val="24"/>
          <w:szCs w:val="24"/>
          <w:lang w:val="en-US" w:eastAsia="zh-CN" w:bidi="ar"/>
        </w:rPr>
      </w:pPr>
    </w:p>
    <w:p w14:paraId="5E8039F1">
      <w:pPr>
        <w:spacing w:after="0" w:line="240" w:lineRule="auto"/>
        <w:jc w:val="both"/>
        <w:rPr>
          <w:rFonts w:hint="eastAsia" w:ascii="宋体" w:hAnsi="宋体" w:eastAsia="宋体" w:cs="@仿宋_GB2312"/>
          <w:b/>
          <w:color w:val="auto"/>
          <w:kern w:val="2"/>
          <w:sz w:val="24"/>
          <w:szCs w:val="20"/>
          <w:highlight w:val="none"/>
          <w:lang w:eastAsia="zh-CN"/>
        </w:rPr>
      </w:pPr>
      <w:bookmarkStart w:id="187" w:name="_Toc11607"/>
      <w:r>
        <w:rPr>
          <w:rFonts w:hint="eastAsia" w:ascii="宋体" w:hAnsi="宋体" w:eastAsia="宋体" w:cs="@仿宋_GB2312"/>
          <w:b/>
          <w:color w:val="auto"/>
          <w:kern w:val="2"/>
          <w:sz w:val="24"/>
          <w:szCs w:val="20"/>
          <w:highlight w:val="none"/>
          <w:lang w:eastAsia="zh-CN"/>
        </w:rPr>
        <w:br w:type="page"/>
      </w:r>
    </w:p>
    <w:p w14:paraId="30232144">
      <w:pPr>
        <w:spacing w:after="0" w:line="360" w:lineRule="auto"/>
        <w:jc w:val="center"/>
        <w:outlineLvl w:val="1"/>
        <w:rPr>
          <w:rFonts w:ascii="宋体" w:hAnsi="宋体" w:eastAsia="宋体" w:cs="@仿宋_GB2312"/>
          <w:b/>
          <w:color w:val="auto"/>
          <w:kern w:val="2"/>
          <w:sz w:val="24"/>
          <w:szCs w:val="20"/>
          <w:highlight w:val="none"/>
          <w:lang w:eastAsia="zh-CN"/>
        </w:rPr>
      </w:pPr>
      <w:bookmarkStart w:id="188" w:name="_Toc16960"/>
      <w:r>
        <w:rPr>
          <w:rFonts w:hint="eastAsia" w:ascii="宋体" w:hAnsi="宋体" w:eastAsia="宋体" w:cs="@仿宋_GB2312"/>
          <w:b/>
          <w:color w:val="auto"/>
          <w:kern w:val="2"/>
          <w:sz w:val="24"/>
          <w:szCs w:val="20"/>
          <w:highlight w:val="none"/>
          <w:lang w:val="en-US" w:eastAsia="zh-CN"/>
        </w:rPr>
        <w:t>3.</w:t>
      </w:r>
      <w:r>
        <w:rPr>
          <w:rFonts w:hint="eastAsia" w:ascii="宋体" w:hAnsi="宋体" w:eastAsia="宋体" w:cs="@仿宋_GB2312"/>
          <w:b/>
          <w:color w:val="auto"/>
          <w:kern w:val="2"/>
          <w:sz w:val="24"/>
          <w:szCs w:val="20"/>
          <w:highlight w:val="none"/>
          <w:lang w:eastAsia="zh-CN"/>
        </w:rPr>
        <w:t>授权书</w:t>
      </w:r>
      <w:bookmarkEnd w:id="187"/>
      <w:bookmarkEnd w:id="188"/>
    </w:p>
    <w:p w14:paraId="043EA4C7">
      <w:pPr>
        <w:widowControl w:val="0"/>
        <w:snapToGrid w:val="0"/>
        <w:spacing w:line="360" w:lineRule="auto"/>
        <w:ind w:firstLine="480" w:firstLineChars="200"/>
        <w:jc w:val="left"/>
        <w:rPr>
          <w:rFonts w:ascii="宋体" w:hAnsi="宋体" w:eastAsia="宋体" w:cs="Times New Roman"/>
          <w:color w:val="auto"/>
          <w:kern w:val="2"/>
          <w:sz w:val="24"/>
          <w:szCs w:val="28"/>
          <w:highlight w:val="none"/>
          <w:lang w:val="en-US" w:eastAsia="zh-CN" w:bidi="ar-SA"/>
        </w:rPr>
      </w:pPr>
    </w:p>
    <w:p w14:paraId="6AC9AE41">
      <w:pPr>
        <w:spacing w:after="0" w:line="360" w:lineRule="auto"/>
        <w:ind w:firstLine="435"/>
        <w:jc w:val="both"/>
        <w:rPr>
          <w:rFonts w:ascii="@仿宋_GB2312" w:hAnsi="宋体" w:eastAsia="宋体" w:cs="@仿宋_GB2312"/>
          <w:color w:val="auto"/>
          <w:kern w:val="2"/>
          <w:sz w:val="24"/>
          <w:szCs w:val="28"/>
          <w:highlight w:val="none"/>
          <w:lang w:eastAsia="zh-CN"/>
        </w:rPr>
      </w:pPr>
      <w:r>
        <w:rPr>
          <w:rFonts w:hint="eastAsia" w:ascii="@仿宋_GB2312" w:hAnsi="宋体" w:eastAsia="宋体" w:cs="@仿宋_GB2312"/>
          <w:color w:val="auto"/>
          <w:kern w:val="2"/>
          <w:sz w:val="24"/>
          <w:szCs w:val="28"/>
          <w:highlight w:val="none"/>
          <w:lang w:eastAsia="zh-CN"/>
        </w:rPr>
        <w:t>本</w:t>
      </w:r>
      <w:r>
        <w:rPr>
          <w:rFonts w:hint="eastAsia" w:ascii="宋体" w:hAnsi="宋体" w:eastAsia="宋体" w:cs="@仿宋_GB2312"/>
          <w:color w:val="auto"/>
          <w:kern w:val="2"/>
          <w:sz w:val="24"/>
          <w:szCs w:val="20"/>
          <w:highlight w:val="none"/>
          <w:lang w:eastAsia="zh-CN"/>
        </w:rPr>
        <w:t>授权</w:t>
      </w:r>
      <w:r>
        <w:rPr>
          <w:rFonts w:hint="eastAsia" w:ascii="@仿宋_GB2312" w:hAnsi="宋体" w:eastAsia="宋体" w:cs="@仿宋_GB2312"/>
          <w:color w:val="auto"/>
          <w:kern w:val="2"/>
          <w:sz w:val="24"/>
          <w:szCs w:val="28"/>
          <w:highlight w:val="none"/>
          <w:lang w:eastAsia="zh-CN"/>
        </w:rPr>
        <w:t>书声明：</w:t>
      </w:r>
      <w:r>
        <w:rPr>
          <w:rFonts w:hint="eastAsia" w:ascii="@仿宋_GB2312" w:hAnsi="宋体" w:eastAsia="宋体" w:cs="@仿宋_GB2312"/>
          <w:color w:val="auto"/>
          <w:kern w:val="2"/>
          <w:sz w:val="24"/>
          <w:szCs w:val="28"/>
          <w:highlight w:val="none"/>
          <w:u w:val="single"/>
          <w:lang w:eastAsia="zh-CN"/>
        </w:rPr>
        <w:t xml:space="preserve">           </w:t>
      </w:r>
      <w:r>
        <w:rPr>
          <w:rFonts w:hint="eastAsia" w:ascii="@仿宋_GB2312" w:hAnsi="宋体" w:eastAsia="宋体" w:cs="@仿宋_GB2312"/>
          <w:color w:val="auto"/>
          <w:kern w:val="2"/>
          <w:sz w:val="24"/>
          <w:szCs w:val="28"/>
          <w:highlight w:val="none"/>
          <w:lang w:eastAsia="zh-CN"/>
        </w:rPr>
        <w:t>（投标人名称）授权</w:t>
      </w:r>
      <w:r>
        <w:rPr>
          <w:rFonts w:hint="eastAsia" w:ascii="@仿宋_GB2312" w:hAnsi="宋体" w:eastAsia="宋体" w:cs="@仿宋_GB2312"/>
          <w:color w:val="auto"/>
          <w:kern w:val="2"/>
          <w:sz w:val="24"/>
          <w:szCs w:val="28"/>
          <w:highlight w:val="none"/>
          <w:u w:val="single"/>
          <w:lang w:eastAsia="zh-CN"/>
        </w:rPr>
        <w:t xml:space="preserve">       </w:t>
      </w:r>
      <w:r>
        <w:rPr>
          <w:rFonts w:hint="eastAsia" w:ascii="@仿宋_GB2312" w:hAnsi="宋体" w:eastAsia="宋体" w:cs="@仿宋_GB2312"/>
          <w:color w:val="auto"/>
          <w:kern w:val="2"/>
          <w:sz w:val="24"/>
          <w:szCs w:val="28"/>
          <w:highlight w:val="none"/>
          <w:lang w:eastAsia="zh-CN"/>
        </w:rPr>
        <w:t>（投标人授权代表姓名）代表我方参加本项目</w:t>
      </w:r>
      <w:r>
        <w:rPr>
          <w:rFonts w:hint="eastAsia" w:ascii="@仿宋_GB2312" w:hAnsi="宋体" w:eastAsia="宋体" w:cs="@仿宋_GB2312"/>
          <w:bCs/>
          <w:color w:val="auto"/>
          <w:kern w:val="2"/>
          <w:sz w:val="24"/>
          <w:szCs w:val="28"/>
          <w:highlight w:val="none"/>
          <w:lang w:eastAsia="zh-CN"/>
        </w:rPr>
        <w:t>采购活动</w:t>
      </w:r>
      <w:r>
        <w:rPr>
          <w:rFonts w:hint="eastAsia" w:ascii="@仿宋_GB2312" w:hAnsi="宋体" w:eastAsia="宋体" w:cs="@仿宋_GB2312"/>
          <w:color w:val="auto"/>
          <w:kern w:val="2"/>
          <w:sz w:val="24"/>
          <w:szCs w:val="28"/>
          <w:highlight w:val="none"/>
          <w:lang w:eastAsia="zh-CN"/>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4E31398">
      <w:pPr>
        <w:spacing w:after="0" w:line="360" w:lineRule="auto"/>
        <w:ind w:firstLine="435"/>
        <w:jc w:val="both"/>
        <w:rPr>
          <w:rFonts w:ascii="@仿宋_GB2312" w:hAnsi="宋体" w:eastAsia="宋体" w:cs="@仿宋_GB2312"/>
          <w:color w:val="auto"/>
          <w:kern w:val="2"/>
          <w:sz w:val="24"/>
          <w:szCs w:val="28"/>
          <w:highlight w:val="none"/>
          <w:lang w:eastAsia="zh-CN"/>
        </w:rPr>
      </w:pPr>
      <w:r>
        <w:rPr>
          <w:rFonts w:hint="eastAsia" w:ascii="@仿宋_GB2312" w:hAnsi="宋体" w:eastAsia="宋体" w:cs="@仿宋_GB2312"/>
          <w:color w:val="auto"/>
          <w:kern w:val="2"/>
          <w:sz w:val="24"/>
          <w:szCs w:val="28"/>
          <w:highlight w:val="none"/>
          <w:lang w:eastAsia="zh-CN"/>
        </w:rPr>
        <w:t>本授权书自出具之日起生效。</w:t>
      </w:r>
    </w:p>
    <w:p w14:paraId="64D3469C">
      <w:pPr>
        <w:spacing w:after="0" w:line="360" w:lineRule="auto"/>
        <w:ind w:firstLine="435"/>
        <w:jc w:val="both"/>
        <w:rPr>
          <w:rFonts w:hint="eastAsia" w:ascii="@仿宋_GB2312" w:hAnsi="宋体" w:eastAsia="宋体" w:cs="@仿宋_GB2312"/>
          <w:color w:val="auto"/>
          <w:kern w:val="2"/>
          <w:sz w:val="24"/>
          <w:szCs w:val="28"/>
          <w:highlight w:val="none"/>
          <w:lang w:eastAsia="zh-CN"/>
        </w:rPr>
      </w:pPr>
      <w:r>
        <w:rPr>
          <w:rFonts w:hint="eastAsia" w:ascii="@仿宋_GB2312" w:hAnsi="宋体" w:eastAsia="宋体" w:cs="@仿宋_GB2312"/>
          <w:color w:val="auto"/>
          <w:kern w:val="2"/>
          <w:sz w:val="24"/>
          <w:szCs w:val="28"/>
          <w:highlight w:val="none"/>
          <w:lang w:eastAsia="zh-CN"/>
        </w:rPr>
        <w:t>授权代表身份证明扫描件：</w:t>
      </w:r>
    </w:p>
    <w:p w14:paraId="0D5E8553">
      <w:pPr>
        <w:spacing w:after="0" w:line="360" w:lineRule="auto"/>
        <w:ind w:firstLine="435"/>
        <w:jc w:val="both"/>
        <w:rPr>
          <w:rFonts w:ascii="宋体" w:hAnsi="宋体" w:eastAsia="宋体" w:cs="@仿宋_GB2312"/>
          <w:color w:val="auto"/>
          <w:kern w:val="2"/>
          <w:sz w:val="24"/>
          <w:szCs w:val="20"/>
          <w:highlight w:val="none"/>
          <w:lang w:eastAsia="zh-CN"/>
        </w:rPr>
      </w:pPr>
    </w:p>
    <w:p w14:paraId="00FA3201">
      <w:pPr>
        <w:spacing w:after="0" w:line="360" w:lineRule="auto"/>
        <w:ind w:firstLine="435"/>
        <w:jc w:val="both"/>
        <w:rPr>
          <w:rFonts w:ascii="宋体" w:hAnsi="宋体" w:eastAsia="宋体" w:cs="@仿宋_GB2312"/>
          <w:color w:val="auto"/>
          <w:kern w:val="2"/>
          <w:sz w:val="24"/>
          <w:szCs w:val="20"/>
          <w:highlight w:val="none"/>
          <w:lang w:eastAsia="zh-CN"/>
        </w:rPr>
      </w:pPr>
    </w:p>
    <w:p w14:paraId="785E0CC4">
      <w:pPr>
        <w:spacing w:after="0" w:line="360" w:lineRule="auto"/>
        <w:ind w:firstLine="435"/>
        <w:jc w:val="both"/>
        <w:rPr>
          <w:rFonts w:ascii="宋体" w:hAnsi="宋体" w:eastAsia="宋体" w:cs="@仿宋_GB2312"/>
          <w:color w:val="auto"/>
          <w:kern w:val="2"/>
          <w:sz w:val="24"/>
          <w:szCs w:val="20"/>
          <w:highlight w:val="none"/>
          <w:lang w:eastAsia="zh-CN"/>
        </w:rPr>
      </w:pPr>
    </w:p>
    <w:p w14:paraId="1188BE6A">
      <w:pPr>
        <w:spacing w:after="0" w:line="360" w:lineRule="auto"/>
        <w:ind w:firstLine="435"/>
        <w:jc w:val="both"/>
        <w:rPr>
          <w:rFonts w:ascii="@仿宋_GB2312" w:hAnsi="宋体" w:eastAsia="宋体" w:cs="@仿宋_GB2312"/>
          <w:color w:val="auto"/>
          <w:kern w:val="2"/>
          <w:sz w:val="24"/>
          <w:szCs w:val="28"/>
          <w:highlight w:val="none"/>
          <w:u w:val="single"/>
          <w:lang w:val="zh-CN" w:eastAsia="zh-CN"/>
        </w:rPr>
      </w:pPr>
      <w:r>
        <w:rPr>
          <w:rFonts w:hint="eastAsia" w:ascii="@仿宋_GB2312" w:hAnsi="宋体" w:eastAsia="宋体" w:cs="@仿宋_GB2312"/>
          <w:color w:val="auto"/>
          <w:kern w:val="2"/>
          <w:sz w:val="24"/>
          <w:szCs w:val="28"/>
          <w:highlight w:val="none"/>
          <w:lang w:eastAsia="zh-CN"/>
        </w:rPr>
        <w:t>授权代表联系方式：</w:t>
      </w:r>
      <w:r>
        <w:rPr>
          <w:rFonts w:hint="eastAsia" w:ascii="@仿宋_GB2312" w:hAnsi="宋体" w:eastAsia="宋体" w:cs="@仿宋_GB2312"/>
          <w:color w:val="auto"/>
          <w:kern w:val="2"/>
          <w:sz w:val="24"/>
          <w:szCs w:val="28"/>
          <w:highlight w:val="none"/>
          <w:u w:val="single"/>
          <w:lang w:eastAsia="zh-CN"/>
        </w:rPr>
        <w:t xml:space="preserve">          （请填写手机号码）</w:t>
      </w:r>
    </w:p>
    <w:p w14:paraId="249E216C">
      <w:pPr>
        <w:spacing w:after="0" w:line="360" w:lineRule="auto"/>
        <w:ind w:firstLine="435"/>
        <w:jc w:val="both"/>
        <w:rPr>
          <w:rFonts w:ascii="@仿宋_GB2312" w:hAnsi="宋体" w:eastAsia="宋体" w:cs="@仿宋_GB2312"/>
          <w:color w:val="auto"/>
          <w:kern w:val="2"/>
          <w:sz w:val="24"/>
          <w:szCs w:val="28"/>
          <w:highlight w:val="none"/>
          <w:lang w:val="zh-CN" w:eastAsia="zh-CN"/>
        </w:rPr>
      </w:pPr>
    </w:p>
    <w:p w14:paraId="05E47E88">
      <w:pPr>
        <w:spacing w:after="0" w:line="360" w:lineRule="auto"/>
        <w:ind w:firstLine="435"/>
        <w:jc w:val="both"/>
        <w:rPr>
          <w:rFonts w:ascii="宋体" w:hAnsi="宋体" w:eastAsia="宋体" w:cs="@仿宋_GB2312"/>
          <w:color w:val="auto"/>
          <w:kern w:val="2"/>
          <w:sz w:val="24"/>
          <w:szCs w:val="28"/>
          <w:highlight w:val="none"/>
          <w:lang w:eastAsia="zh-CN"/>
        </w:rPr>
      </w:pPr>
      <w:r>
        <w:rPr>
          <w:rFonts w:hint="eastAsia" w:ascii="宋体" w:hAnsi="宋体" w:eastAsia="宋体" w:cs="@仿宋_GB2312"/>
          <w:color w:val="auto"/>
          <w:kern w:val="2"/>
          <w:sz w:val="24"/>
          <w:szCs w:val="20"/>
          <w:highlight w:val="none"/>
          <w:lang w:eastAsia="zh-CN"/>
        </w:rPr>
        <w:t>特此</w:t>
      </w:r>
      <w:r>
        <w:rPr>
          <w:rFonts w:hint="eastAsia" w:ascii="宋体" w:hAnsi="宋体" w:eastAsia="宋体" w:cs="@仿宋_GB2312"/>
          <w:color w:val="auto"/>
          <w:kern w:val="2"/>
          <w:sz w:val="24"/>
          <w:szCs w:val="28"/>
          <w:highlight w:val="none"/>
          <w:lang w:eastAsia="zh-CN"/>
        </w:rPr>
        <w:t>声明。</w:t>
      </w:r>
    </w:p>
    <w:p w14:paraId="280CFC87">
      <w:pPr>
        <w:spacing w:after="0" w:line="360" w:lineRule="auto"/>
        <w:jc w:val="both"/>
        <w:rPr>
          <w:rFonts w:ascii="宋体" w:hAnsi="宋体" w:eastAsia="宋体" w:cs="@仿宋_GB2312"/>
          <w:color w:val="auto"/>
          <w:kern w:val="2"/>
          <w:sz w:val="24"/>
          <w:szCs w:val="28"/>
          <w:highlight w:val="none"/>
          <w:lang w:eastAsia="zh-CN"/>
        </w:rPr>
      </w:pPr>
    </w:p>
    <w:p w14:paraId="28734643">
      <w:pPr>
        <w:spacing w:after="0" w:line="360" w:lineRule="auto"/>
        <w:jc w:val="center"/>
        <w:rPr>
          <w:rFonts w:hint="default" w:ascii="宋体" w:hAnsi="宋体" w:eastAsia="宋体" w:cs="@仿宋_GB2312"/>
          <w:color w:val="auto"/>
          <w:kern w:val="2"/>
          <w:sz w:val="24"/>
          <w:szCs w:val="20"/>
          <w:highlight w:val="none"/>
          <w:u w:val="single"/>
          <w:lang w:val="en-US" w:eastAsia="zh-CN"/>
        </w:rPr>
      </w:pP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val="en-US" w:eastAsia="zh-CN"/>
        </w:rPr>
        <w:t xml:space="preserve">             </w:t>
      </w:r>
    </w:p>
    <w:p w14:paraId="0B3B54F2">
      <w:pPr>
        <w:spacing w:after="0" w:line="360" w:lineRule="auto"/>
        <w:jc w:val="center"/>
        <w:rPr>
          <w:rFonts w:hint="default" w:ascii="宋体" w:hAnsi="宋体" w:eastAsia="宋体" w:cs="@仿宋_GB2312"/>
          <w:color w:val="auto"/>
          <w:kern w:val="2"/>
          <w:sz w:val="24"/>
          <w:szCs w:val="20"/>
          <w:highlight w:val="none"/>
          <w:u w:val="single"/>
          <w:lang w:val="en-US" w:eastAsia="zh-CN"/>
        </w:rPr>
      </w:pP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val="en-US" w:eastAsia="zh-CN"/>
        </w:rPr>
        <w:t xml:space="preserve">             </w:t>
      </w:r>
      <w:r>
        <w:rPr>
          <w:rFonts w:hint="eastAsia" w:ascii="宋体" w:hAnsi="宋体" w:eastAsia="宋体" w:cs="@仿宋_GB2312"/>
          <w:color w:val="auto"/>
          <w:kern w:val="2"/>
          <w:sz w:val="24"/>
          <w:szCs w:val="20"/>
          <w:highlight w:val="none"/>
          <w:lang w:val="en-US" w:eastAsia="zh-CN"/>
        </w:rPr>
        <w:t xml:space="preserve">  </w:t>
      </w:r>
    </w:p>
    <w:p w14:paraId="5EF4C56F">
      <w:pPr>
        <w:spacing w:after="0" w:line="360" w:lineRule="auto"/>
        <w:ind w:firstLine="435"/>
        <w:jc w:val="both"/>
        <w:rPr>
          <w:rFonts w:ascii="宋体" w:hAnsi="宋体" w:eastAsia="宋体" w:cs="@仿宋_GB2312"/>
          <w:color w:val="auto"/>
          <w:kern w:val="2"/>
          <w:sz w:val="24"/>
          <w:szCs w:val="20"/>
          <w:highlight w:val="none"/>
          <w:lang w:eastAsia="zh-CN"/>
        </w:rPr>
      </w:pPr>
    </w:p>
    <w:p w14:paraId="610FE35A">
      <w:pPr>
        <w:spacing w:after="0" w:line="360" w:lineRule="auto"/>
        <w:ind w:firstLine="435"/>
        <w:jc w:val="both"/>
        <w:rPr>
          <w:rFonts w:ascii="宋体" w:hAnsi="宋体" w:eastAsia="宋体" w:cs="@仿宋_GB2312"/>
          <w:color w:val="auto"/>
          <w:kern w:val="2"/>
          <w:sz w:val="24"/>
          <w:szCs w:val="20"/>
          <w:highlight w:val="none"/>
          <w:lang w:eastAsia="zh-CN"/>
        </w:rPr>
      </w:pPr>
    </w:p>
    <w:p w14:paraId="46A3AFA5">
      <w:pPr>
        <w:spacing w:after="0" w:line="360" w:lineRule="auto"/>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注：</w:t>
      </w:r>
    </w:p>
    <w:p w14:paraId="0F234B1E">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1.本项目只允许有唯一的投标人授权代表，提供身份证明扫描件；</w:t>
      </w:r>
    </w:p>
    <w:p w14:paraId="5A9A5138">
      <w:pPr>
        <w:spacing w:after="0" w:line="360" w:lineRule="auto"/>
        <w:ind w:firstLine="435"/>
        <w:jc w:val="both"/>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2.法定代表人参加投标的无需提供授权书，提供身份证明扫描件。</w:t>
      </w:r>
    </w:p>
    <w:p w14:paraId="6DA06A7D">
      <w:pPr>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br w:type="page"/>
      </w:r>
    </w:p>
    <w:p w14:paraId="576CB466">
      <w:pPr>
        <w:pStyle w:val="2"/>
        <w:rPr>
          <w:rFonts w:hint="eastAsia" w:ascii="宋体" w:hAnsi="宋体" w:eastAsia="宋体" w:cs="@仿宋_GB2312"/>
          <w:b/>
          <w:bCs/>
          <w:color w:val="auto"/>
          <w:kern w:val="2"/>
          <w:sz w:val="24"/>
          <w:szCs w:val="20"/>
          <w:highlight w:val="yellow"/>
          <w:lang w:eastAsia="zh-CN"/>
        </w:rPr>
      </w:pPr>
      <w:r>
        <w:rPr>
          <w:rFonts w:hint="eastAsia" w:ascii="宋体" w:hAnsi="宋体" w:eastAsia="宋体" w:cs="@仿宋_GB2312"/>
          <w:b/>
          <w:bCs/>
          <w:color w:val="auto"/>
          <w:kern w:val="2"/>
          <w:sz w:val="24"/>
          <w:szCs w:val="20"/>
          <w:highlight w:val="none"/>
          <w:lang w:eastAsia="zh-CN"/>
        </w:rPr>
        <w:t>授权代表身份证</w:t>
      </w:r>
      <w:r>
        <w:rPr>
          <w:rFonts w:hint="eastAsia" w:cs="@仿宋_GB2312"/>
          <w:b/>
          <w:bCs/>
          <w:color w:val="auto"/>
          <w:kern w:val="2"/>
          <w:sz w:val="24"/>
          <w:szCs w:val="20"/>
          <w:highlight w:val="none"/>
          <w:lang w:eastAsia="zh-CN"/>
        </w:rPr>
        <w:t>或</w:t>
      </w:r>
      <w:r>
        <w:rPr>
          <w:rFonts w:hint="eastAsia" w:ascii="宋体" w:hAnsi="宋体" w:eastAsia="宋体" w:cs="@仿宋_GB2312"/>
          <w:b/>
          <w:bCs/>
          <w:color w:val="auto"/>
          <w:kern w:val="2"/>
          <w:sz w:val="24"/>
          <w:szCs w:val="20"/>
          <w:highlight w:val="none"/>
          <w:lang w:eastAsia="zh-CN"/>
        </w:rPr>
        <w:t>法定代表人</w:t>
      </w:r>
      <w:r>
        <w:rPr>
          <w:rFonts w:hint="eastAsia" w:cs="@仿宋_GB2312"/>
          <w:b/>
          <w:bCs/>
          <w:color w:val="auto"/>
          <w:kern w:val="2"/>
          <w:sz w:val="24"/>
          <w:szCs w:val="20"/>
          <w:highlight w:val="none"/>
          <w:lang w:val="en-US" w:eastAsia="zh-CN"/>
        </w:rPr>
        <w:t>扫描</w:t>
      </w:r>
      <w:r>
        <w:rPr>
          <w:rFonts w:hint="eastAsia" w:ascii="宋体" w:hAnsi="宋体" w:eastAsia="宋体" w:cs="@仿宋_GB2312"/>
          <w:b/>
          <w:bCs/>
          <w:color w:val="auto"/>
          <w:kern w:val="2"/>
          <w:sz w:val="24"/>
          <w:szCs w:val="20"/>
          <w:highlight w:val="none"/>
          <w:lang w:eastAsia="zh-CN"/>
        </w:rPr>
        <w:t>件</w:t>
      </w:r>
      <w:r>
        <w:rPr>
          <w:rFonts w:hint="eastAsia" w:cs="@仿宋_GB2312"/>
          <w:b/>
          <w:bCs/>
          <w:color w:val="auto"/>
          <w:kern w:val="2"/>
          <w:sz w:val="24"/>
          <w:szCs w:val="20"/>
          <w:highlight w:val="none"/>
          <w:lang w:eastAsia="zh-CN"/>
        </w:rPr>
        <w:t>：</w:t>
      </w:r>
    </w:p>
    <w:p w14:paraId="3E90A41B">
      <w:pPr>
        <w:pStyle w:val="2"/>
        <w:rPr>
          <w:color w:val="auto"/>
          <w:lang w:eastAsia="zh-CN"/>
        </w:rPr>
      </w:pPr>
    </w:p>
    <w:p w14:paraId="30D9FC18">
      <w:pPr>
        <w:widowControl/>
        <w:spacing w:after="0" w:line="240" w:lineRule="auto"/>
        <w:jc w:val="left"/>
        <w:rPr>
          <w:rFonts w:ascii="宋体" w:hAnsi="宋体" w:eastAsia="宋体" w:cs="@仿宋_GB2312"/>
          <w:color w:val="auto"/>
          <w:kern w:val="2"/>
          <w:sz w:val="24"/>
          <w:szCs w:val="20"/>
          <w:highlight w:val="none"/>
          <w:lang w:eastAsia="zh-CN"/>
        </w:rPr>
      </w:pPr>
      <w:r>
        <w:rPr>
          <w:rFonts w:ascii="宋体" w:hAnsi="宋体" w:eastAsia="宋体" w:cs="@仿宋_GB2312"/>
          <w:color w:val="auto"/>
          <w:kern w:val="2"/>
          <w:sz w:val="24"/>
          <w:szCs w:val="20"/>
          <w:highlight w:val="none"/>
          <w:lang w:eastAsia="zh-CN"/>
        </w:rPr>
        <w:br w:type="page"/>
      </w:r>
    </w:p>
    <w:p w14:paraId="78C7D12C">
      <w:pPr>
        <w:widowControl/>
        <w:spacing w:after="0" w:line="240" w:lineRule="auto"/>
        <w:jc w:val="left"/>
        <w:rPr>
          <w:rFonts w:ascii="宋体" w:hAnsi="宋体" w:eastAsia="宋体" w:cs="@仿宋_GB2312"/>
          <w:color w:val="auto"/>
          <w:kern w:val="2"/>
          <w:sz w:val="24"/>
          <w:szCs w:val="20"/>
          <w:highlight w:val="none"/>
          <w:lang w:eastAsia="zh-CN"/>
        </w:rPr>
      </w:pPr>
    </w:p>
    <w:p w14:paraId="3339C2D6">
      <w:pPr>
        <w:pStyle w:val="55"/>
        <w:ind w:firstLine="0" w:firstLineChars="0"/>
        <w:jc w:val="center"/>
        <w:rPr>
          <w:rFonts w:hint="eastAsia" w:ascii="宋体" w:hAnsi="宋体" w:eastAsia="宋体" w:cs="宋体"/>
          <w:color w:val="auto"/>
          <w:sz w:val="24"/>
          <w:szCs w:val="24"/>
          <w:highlight w:val="none"/>
        </w:rPr>
      </w:pPr>
      <w:bookmarkStart w:id="189" w:name="_Toc11940"/>
      <w:bookmarkStart w:id="190" w:name="_Toc20329"/>
      <w:r>
        <w:rPr>
          <w:rFonts w:hint="eastAsia" w:ascii="宋体" w:hAnsi="宋体" w:eastAsia="宋体" w:cs="宋体"/>
          <w:b/>
          <w:bCs w:val="0"/>
          <w:color w:val="auto"/>
          <w:sz w:val="24"/>
          <w:szCs w:val="24"/>
          <w:highlight w:val="none"/>
          <w:lang w:val="en-US" w:eastAsia="zh-CN"/>
        </w:rPr>
        <w:t>4.项目实施方案</w:t>
      </w:r>
    </w:p>
    <w:p w14:paraId="5792C3FD">
      <w:pPr>
        <w:widowControl w:val="0"/>
        <w:wordWrap w:val="0"/>
        <w:adjustRightInd/>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（一）投标人简介</w:t>
      </w:r>
    </w:p>
    <w:p w14:paraId="0B6045C4">
      <w:pPr>
        <w:widowControl w:val="0"/>
        <w:autoSpaceDN w:val="0"/>
        <w:adjustRightInd/>
        <w:snapToGrid w:val="0"/>
        <w:spacing w:line="360" w:lineRule="auto"/>
        <w:textAlignment w:val="auto"/>
        <w:rPr>
          <w:rFonts w:hint="eastAsia" w:ascii="宋体" w:hAnsi="宋体" w:eastAsia="宋体" w:cs="宋体"/>
          <w:b/>
          <w:color w:val="auto"/>
          <w:sz w:val="24"/>
          <w:szCs w:val="24"/>
          <w:highlight w:val="none"/>
        </w:rPr>
      </w:pPr>
    </w:p>
    <w:p w14:paraId="5CA887FA">
      <w:pPr>
        <w:widowControl w:val="0"/>
        <w:autoSpaceDN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（二）项目实施方案</w:t>
      </w:r>
    </w:p>
    <w:p w14:paraId="24E1B5CE">
      <w:pPr>
        <w:widowControl w:val="0"/>
        <w:wordWrap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（详细说明）</w:t>
      </w:r>
    </w:p>
    <w:p w14:paraId="5FF67493">
      <w:pPr>
        <w:rPr>
          <w:rFonts w:hint="eastAsia" w:ascii="宋体" w:hAnsi="宋体" w:eastAsia="宋体" w:cs="@仿宋_GB2312"/>
          <w:b/>
          <w:color w:val="auto"/>
          <w:kern w:val="2"/>
          <w:sz w:val="24"/>
          <w:szCs w:val="20"/>
          <w:highlight w:val="none"/>
          <w:lang w:eastAsia="zh-CN"/>
        </w:rPr>
      </w:pPr>
    </w:p>
    <w:p w14:paraId="43EA9271">
      <w:pPr>
        <w:rPr>
          <w:rFonts w:hint="eastAsia"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br w:type="page"/>
      </w:r>
    </w:p>
    <w:p w14:paraId="35C6E17F">
      <w:pPr>
        <w:spacing w:after="0" w:line="360" w:lineRule="auto"/>
        <w:jc w:val="center"/>
        <w:outlineLvl w:val="1"/>
        <w:rPr>
          <w:rFonts w:hint="default"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5.</w:t>
      </w:r>
      <w:r>
        <w:rPr>
          <w:rFonts w:hint="eastAsia" w:ascii="宋体" w:hAnsi="宋体" w:eastAsia="宋体" w:cs="@仿宋_GB2312"/>
          <w:b/>
          <w:color w:val="auto"/>
          <w:kern w:val="2"/>
          <w:sz w:val="24"/>
          <w:szCs w:val="20"/>
          <w:highlight w:val="none"/>
          <w:lang w:eastAsia="zh-CN"/>
        </w:rPr>
        <w:t>投标响应表</w:t>
      </w:r>
      <w:bookmarkEnd w:id="189"/>
      <w:bookmarkEnd w:id="190"/>
    </w:p>
    <w:p w14:paraId="3A560BA5">
      <w:pPr>
        <w:spacing w:line="360" w:lineRule="auto"/>
        <w:ind w:firstLine="435"/>
        <w:outlineLvl w:val="2"/>
        <w:rPr>
          <w:rFonts w:asciiTheme="minorEastAsia" w:hAnsiTheme="minorEastAsia" w:eastAsiaTheme="minorEastAsia"/>
          <w:b/>
          <w:color w:val="auto"/>
          <w:sz w:val="24"/>
          <w:highlight w:val="none"/>
        </w:rPr>
      </w:pPr>
      <w:bookmarkStart w:id="191" w:name="_Toc11594"/>
      <w:bookmarkStart w:id="192" w:name="_Toc31000"/>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918"/>
        <w:gridCol w:w="2500"/>
        <w:gridCol w:w="2576"/>
        <w:gridCol w:w="810"/>
      </w:tblGrid>
      <w:tr w14:paraId="7ADB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3" w:type="pct"/>
            <w:vAlign w:val="center"/>
          </w:tcPr>
          <w:p w14:paraId="7A619C75">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F444F87">
            <w:pPr>
              <w:pStyle w:val="9"/>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F5FF512">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35E49844">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3B9E8C0">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552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6ABEE97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248ADD9D">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7D3AD145">
            <w:pPr>
              <w:jc w:val="center"/>
              <w:rPr>
                <w:rFonts w:asciiTheme="minorEastAsia" w:hAnsiTheme="minorEastAsia" w:eastAsiaTheme="minorEastAsia"/>
                <w:color w:val="auto"/>
                <w:sz w:val="24"/>
                <w:highlight w:val="none"/>
              </w:rPr>
            </w:pPr>
          </w:p>
        </w:tc>
        <w:tc>
          <w:tcPr>
            <w:tcW w:w="1510" w:type="pct"/>
            <w:vAlign w:val="center"/>
          </w:tcPr>
          <w:p w14:paraId="2C483A8D">
            <w:pPr>
              <w:jc w:val="center"/>
              <w:rPr>
                <w:rFonts w:asciiTheme="minorEastAsia" w:hAnsiTheme="minorEastAsia" w:eastAsiaTheme="minorEastAsia"/>
                <w:color w:val="auto"/>
                <w:sz w:val="24"/>
                <w:highlight w:val="none"/>
              </w:rPr>
            </w:pPr>
          </w:p>
        </w:tc>
        <w:tc>
          <w:tcPr>
            <w:tcW w:w="475" w:type="pct"/>
            <w:vAlign w:val="center"/>
          </w:tcPr>
          <w:p w14:paraId="61FC16E3">
            <w:pPr>
              <w:jc w:val="center"/>
              <w:rPr>
                <w:rFonts w:asciiTheme="minorEastAsia" w:hAnsiTheme="minorEastAsia" w:eastAsiaTheme="minorEastAsia"/>
                <w:color w:val="auto"/>
                <w:sz w:val="24"/>
                <w:highlight w:val="none"/>
              </w:rPr>
            </w:pPr>
          </w:p>
        </w:tc>
      </w:tr>
      <w:tr w14:paraId="2E24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66AED56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70AFB08">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37E5FBD">
            <w:pPr>
              <w:jc w:val="center"/>
              <w:rPr>
                <w:rFonts w:asciiTheme="minorEastAsia" w:hAnsiTheme="minorEastAsia" w:eastAsiaTheme="minorEastAsia"/>
                <w:color w:val="auto"/>
                <w:sz w:val="24"/>
                <w:highlight w:val="none"/>
              </w:rPr>
            </w:pPr>
          </w:p>
        </w:tc>
        <w:tc>
          <w:tcPr>
            <w:tcW w:w="1510" w:type="pct"/>
            <w:vAlign w:val="center"/>
          </w:tcPr>
          <w:p w14:paraId="5E94E01C">
            <w:pPr>
              <w:jc w:val="center"/>
              <w:rPr>
                <w:rFonts w:asciiTheme="minorEastAsia" w:hAnsiTheme="minorEastAsia" w:eastAsiaTheme="minorEastAsia"/>
                <w:color w:val="auto"/>
                <w:sz w:val="24"/>
                <w:highlight w:val="none"/>
              </w:rPr>
            </w:pPr>
          </w:p>
        </w:tc>
        <w:tc>
          <w:tcPr>
            <w:tcW w:w="475" w:type="pct"/>
            <w:vAlign w:val="center"/>
          </w:tcPr>
          <w:p w14:paraId="78E0CE92">
            <w:pPr>
              <w:jc w:val="center"/>
              <w:rPr>
                <w:rFonts w:asciiTheme="minorEastAsia" w:hAnsiTheme="minorEastAsia" w:eastAsiaTheme="minorEastAsia"/>
                <w:color w:val="auto"/>
                <w:sz w:val="24"/>
                <w:highlight w:val="none"/>
              </w:rPr>
            </w:pPr>
          </w:p>
        </w:tc>
      </w:tr>
      <w:tr w14:paraId="2EC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 w:type="pct"/>
            <w:vAlign w:val="center"/>
          </w:tcPr>
          <w:p w14:paraId="27190AB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4F95A94">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0F1CE42D">
            <w:pPr>
              <w:jc w:val="center"/>
              <w:rPr>
                <w:rFonts w:asciiTheme="minorEastAsia" w:hAnsiTheme="minorEastAsia" w:eastAsiaTheme="minorEastAsia"/>
                <w:color w:val="auto"/>
                <w:sz w:val="24"/>
                <w:highlight w:val="none"/>
              </w:rPr>
            </w:pPr>
          </w:p>
        </w:tc>
        <w:tc>
          <w:tcPr>
            <w:tcW w:w="1510" w:type="pct"/>
            <w:vAlign w:val="center"/>
          </w:tcPr>
          <w:p w14:paraId="079B65F4">
            <w:pPr>
              <w:pStyle w:val="67"/>
              <w:jc w:val="center"/>
              <w:rPr>
                <w:rFonts w:asciiTheme="minorEastAsia" w:hAnsiTheme="minorEastAsia" w:eastAsiaTheme="minorEastAsia"/>
                <w:color w:val="auto"/>
                <w:highlight w:val="none"/>
              </w:rPr>
            </w:pPr>
          </w:p>
        </w:tc>
        <w:tc>
          <w:tcPr>
            <w:tcW w:w="475" w:type="pct"/>
            <w:vAlign w:val="center"/>
          </w:tcPr>
          <w:p w14:paraId="71FBC483">
            <w:pPr>
              <w:jc w:val="center"/>
              <w:rPr>
                <w:rFonts w:asciiTheme="minorEastAsia" w:hAnsiTheme="minorEastAsia" w:eastAsiaTheme="minorEastAsia"/>
                <w:color w:val="auto"/>
                <w:sz w:val="24"/>
                <w:highlight w:val="none"/>
              </w:rPr>
            </w:pPr>
          </w:p>
        </w:tc>
      </w:tr>
    </w:tbl>
    <w:p w14:paraId="1F7AA6FB">
      <w:pPr>
        <w:spacing w:line="360" w:lineRule="auto"/>
        <w:ind w:firstLine="435"/>
        <w:outlineLvl w:val="2"/>
        <w:rPr>
          <w:rFonts w:hint="eastAsia" w:asciiTheme="minorEastAsia" w:hAnsiTheme="minorEastAsia" w:eastAsiaTheme="minorEastAsia"/>
          <w:b/>
          <w:color w:val="auto"/>
          <w:sz w:val="24"/>
          <w:highlight w:val="none"/>
          <w:lang w:val="en-US" w:eastAsia="zh-CN"/>
        </w:rPr>
      </w:pPr>
    </w:p>
    <w:p w14:paraId="7E992B00">
      <w:pPr>
        <w:spacing w:line="360" w:lineRule="auto"/>
        <w:ind w:firstLine="4800" w:firstLineChars="2000"/>
        <w:rPr>
          <w:rFonts w:hint="eastAsia" w:ascii="宋体" w:hAnsi="宋体" w:eastAsia="宋体"/>
          <w:color w:val="auto"/>
          <w:sz w:val="24"/>
          <w:highlight w:val="none"/>
        </w:rPr>
      </w:pPr>
    </w:p>
    <w:p w14:paraId="413BB07B">
      <w:pPr>
        <w:spacing w:line="360" w:lineRule="auto"/>
        <w:ind w:firstLine="4800" w:firstLineChars="2000"/>
        <w:rPr>
          <w:rFonts w:hint="eastAsia" w:ascii="宋体" w:hAnsi="宋体" w:eastAsia="宋体"/>
          <w:color w:val="auto"/>
          <w:sz w:val="24"/>
          <w:highlight w:val="none"/>
        </w:rPr>
      </w:pPr>
    </w:p>
    <w:p w14:paraId="048FB435">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74C94E16">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41A673BF">
      <w:pPr>
        <w:rPr>
          <w:rFonts w:hint="eastAsia" w:ascii="宋体" w:hAnsi="宋体" w:cs="宋体"/>
          <w:color w:val="auto"/>
          <w:sz w:val="24"/>
          <w:szCs w:val="24"/>
          <w:highlight w:val="none"/>
          <w:lang w:val="en-US" w:eastAsia="zh-CN"/>
        </w:rPr>
      </w:pPr>
      <w:r>
        <w:rPr>
          <w:rFonts w:hint="eastAsia" w:ascii="宋体" w:hAnsi="宋体" w:eastAsia="宋体" w:cs="@仿宋_GB2312"/>
          <w:b/>
          <w:color w:val="auto"/>
          <w:kern w:val="2"/>
          <w:sz w:val="24"/>
          <w:szCs w:val="20"/>
          <w:highlight w:val="none"/>
          <w:lang w:val="en-US" w:eastAsia="zh-CN"/>
        </w:rPr>
        <w:br w:type="page"/>
      </w:r>
    </w:p>
    <w:p w14:paraId="0E1E4B85">
      <w:pPr>
        <w:numPr>
          <w:ilvl w:val="0"/>
          <w:numId w:val="0"/>
        </w:numPr>
        <w:spacing w:after="0" w:line="360" w:lineRule="auto"/>
        <w:jc w:val="center"/>
        <w:outlineLvl w:val="1"/>
        <w:rPr>
          <w:rFonts w:hint="eastAsia"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6.中小企业声明函</w:t>
      </w:r>
    </w:p>
    <w:p w14:paraId="526CFB1D">
      <w:pPr>
        <w:spacing w:after="0" w:line="240" w:lineRule="auto"/>
        <w:jc w:val="both"/>
        <w:rPr>
          <w:rFonts w:ascii="宋体" w:hAnsi="宋体" w:eastAsia="宋体" w:cs="@仿宋_GB2312"/>
          <w:color w:val="auto"/>
          <w:kern w:val="2"/>
          <w:sz w:val="24"/>
          <w:szCs w:val="24"/>
          <w:highlight w:val="none"/>
          <w:lang w:eastAsia="zh-CN"/>
        </w:rPr>
      </w:pPr>
    </w:p>
    <w:p w14:paraId="1CC9D94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37E96F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862AA8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88793C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13AE30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87599E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6C52F778">
      <w:pPr>
        <w:spacing w:line="360" w:lineRule="auto"/>
        <w:ind w:firstLine="435"/>
        <w:rPr>
          <w:rFonts w:asciiTheme="minorEastAsia" w:hAnsiTheme="minorEastAsia" w:eastAsiaTheme="minorEastAsia"/>
          <w:color w:val="auto"/>
          <w:sz w:val="24"/>
          <w:szCs w:val="24"/>
          <w:highlight w:val="none"/>
        </w:rPr>
      </w:pPr>
    </w:p>
    <w:p w14:paraId="17F8D36A">
      <w:pPr>
        <w:spacing w:line="360" w:lineRule="auto"/>
        <w:ind w:firstLine="435"/>
        <w:rPr>
          <w:rFonts w:asciiTheme="minorEastAsia" w:hAnsiTheme="minorEastAsia" w:eastAsiaTheme="minorEastAsia"/>
          <w:color w:val="auto"/>
          <w:sz w:val="24"/>
          <w:szCs w:val="24"/>
          <w:highlight w:val="none"/>
        </w:rPr>
      </w:pPr>
    </w:p>
    <w:p w14:paraId="19F8BDEB">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4B24B806">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750293C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0CBF4F67">
      <w:pPr>
        <w:tabs>
          <w:tab w:val="left" w:pos="4620"/>
        </w:tabs>
        <w:spacing w:line="360" w:lineRule="auto"/>
        <w:jc w:val="left"/>
        <w:rPr>
          <w:rFonts w:asciiTheme="minorEastAsia" w:hAnsiTheme="minorEastAsia" w:eastAsiaTheme="minorEastAsia"/>
          <w:color w:val="auto"/>
          <w:sz w:val="24"/>
          <w:szCs w:val="24"/>
          <w:highlight w:val="none"/>
        </w:rPr>
      </w:pPr>
    </w:p>
    <w:p w14:paraId="6BFCFDF6">
      <w:pPr>
        <w:tabs>
          <w:tab w:val="left" w:pos="4620"/>
        </w:tabs>
        <w:spacing w:line="360" w:lineRule="auto"/>
        <w:jc w:val="left"/>
        <w:rPr>
          <w:rFonts w:asciiTheme="minorEastAsia" w:hAnsiTheme="minorEastAsia" w:eastAsiaTheme="minorEastAsia"/>
          <w:color w:val="auto"/>
          <w:sz w:val="24"/>
          <w:szCs w:val="24"/>
          <w:highlight w:val="none"/>
        </w:rPr>
      </w:pPr>
    </w:p>
    <w:p w14:paraId="36F0F7F2">
      <w:pPr>
        <w:tabs>
          <w:tab w:val="left" w:pos="4620"/>
        </w:tabs>
        <w:spacing w:line="360" w:lineRule="auto"/>
        <w:jc w:val="left"/>
        <w:rPr>
          <w:rFonts w:asciiTheme="minorEastAsia" w:hAnsiTheme="minorEastAsia" w:eastAsiaTheme="minorEastAsia"/>
          <w:color w:val="auto"/>
          <w:sz w:val="24"/>
          <w:szCs w:val="24"/>
          <w:highlight w:val="none"/>
        </w:rPr>
      </w:pPr>
    </w:p>
    <w:p w14:paraId="27E365FA">
      <w:pPr>
        <w:tabs>
          <w:tab w:val="left" w:pos="4620"/>
        </w:tabs>
        <w:spacing w:line="360" w:lineRule="auto"/>
        <w:jc w:val="left"/>
        <w:rPr>
          <w:rFonts w:asciiTheme="minorEastAsia" w:hAnsiTheme="minorEastAsia" w:eastAsiaTheme="minorEastAsia"/>
          <w:color w:val="auto"/>
          <w:sz w:val="24"/>
          <w:szCs w:val="24"/>
          <w:highlight w:val="none"/>
        </w:rPr>
      </w:pPr>
    </w:p>
    <w:p w14:paraId="7EF11C7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50199759">
      <w:pPr>
        <w:tabs>
          <w:tab w:val="left" w:pos="4620"/>
        </w:tabs>
        <w:spacing w:line="360" w:lineRule="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67E8375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0E41755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7967A24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58C3679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A142A05">
      <w:pPr>
        <w:spacing w:after="0" w:line="240" w:lineRule="auto"/>
        <w:jc w:val="both"/>
        <w:rPr>
          <w:rFonts w:hint="eastAsia" w:ascii="宋体" w:hAnsi="宋体" w:eastAsia="宋体" w:cs="@仿宋_GB2312"/>
          <w:b/>
          <w:bCs/>
          <w:color w:val="auto"/>
          <w:kern w:val="2"/>
          <w:sz w:val="21"/>
          <w:szCs w:val="24"/>
          <w:highlight w:val="none"/>
          <w:lang w:eastAsia="zh-CN"/>
        </w:rPr>
      </w:pPr>
      <w:r>
        <w:rPr>
          <w:rFonts w:hint="eastAsia" w:ascii="宋体" w:hAnsi="宋体" w:eastAsia="宋体" w:cs="@仿宋_GB2312"/>
          <w:b/>
          <w:bCs/>
          <w:color w:val="auto"/>
          <w:kern w:val="2"/>
          <w:sz w:val="21"/>
          <w:szCs w:val="24"/>
          <w:highlight w:val="none"/>
          <w:lang w:eastAsia="zh-CN"/>
        </w:rPr>
        <w:br w:type="page"/>
      </w:r>
    </w:p>
    <w:p w14:paraId="35BBF1F5">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bookmarkStart w:id="193" w:name="_Toc16713"/>
      <w:bookmarkStart w:id="194" w:name="_Toc24563"/>
      <w:r>
        <w:rPr>
          <w:rFonts w:hint="eastAsia" w:ascii="宋体" w:hAnsi="宋体" w:eastAsia="宋体" w:cs="@仿宋_GB2312"/>
          <w:b/>
          <w:color w:val="auto"/>
          <w:kern w:val="2"/>
          <w:sz w:val="24"/>
          <w:szCs w:val="20"/>
          <w:highlight w:val="none"/>
          <w:lang w:val="en-US" w:eastAsia="zh-CN"/>
        </w:rPr>
        <w:t>7.残疾人福利性单位声明函</w:t>
      </w:r>
      <w:bookmarkEnd w:id="193"/>
      <w:bookmarkEnd w:id="194"/>
    </w:p>
    <w:p w14:paraId="4203BBD1">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w:t>
      </w:r>
    </w:p>
    <w:p w14:paraId="378A623E">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9AB505E">
      <w:pPr>
        <w:spacing w:line="360" w:lineRule="auto"/>
        <w:ind w:firstLine="4228" w:firstLineChars="1762"/>
        <w:rPr>
          <w:rFonts w:asciiTheme="minorEastAsia" w:hAnsiTheme="minorEastAsia" w:eastAsiaTheme="minorEastAsia"/>
          <w:color w:val="auto"/>
          <w:sz w:val="24"/>
          <w:szCs w:val="24"/>
          <w:highlight w:val="none"/>
        </w:rPr>
      </w:pPr>
    </w:p>
    <w:p w14:paraId="2F054DF7">
      <w:pPr>
        <w:spacing w:line="360" w:lineRule="auto"/>
        <w:ind w:firstLine="4228" w:firstLineChars="1762"/>
        <w:rPr>
          <w:rFonts w:asciiTheme="minorEastAsia" w:hAnsiTheme="minorEastAsia" w:eastAsiaTheme="minorEastAsia"/>
          <w:color w:val="auto"/>
          <w:sz w:val="24"/>
          <w:szCs w:val="24"/>
          <w:highlight w:val="none"/>
        </w:rPr>
      </w:pPr>
    </w:p>
    <w:p w14:paraId="73A0F06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5BAC1E1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7EE8B322">
      <w:pPr>
        <w:tabs>
          <w:tab w:val="left" w:pos="4620"/>
        </w:tabs>
        <w:spacing w:line="360" w:lineRule="auto"/>
        <w:ind w:firstLine="4269" w:firstLineChars="1772"/>
        <w:rPr>
          <w:rFonts w:hint="eastAsia" w:ascii="宋体" w:hAnsi="宋体" w:eastAsia="宋体" w:cs="@仿宋_GB2312"/>
          <w:b/>
          <w:color w:val="auto"/>
          <w:kern w:val="2"/>
          <w:sz w:val="24"/>
          <w:szCs w:val="20"/>
          <w:highlight w:val="yellow"/>
          <w:lang w:val="en-US" w:eastAsia="zh-CN" w:bidi="ar-SA"/>
        </w:rPr>
        <w:sectPr>
          <w:headerReference r:id="rId7" w:type="default"/>
          <w:footerReference r:id="rId8" w:type="default"/>
          <w:pgSz w:w="11910" w:h="16840"/>
          <w:pgMar w:top="1440" w:right="1800" w:bottom="1440" w:left="1800" w:header="879" w:footer="868" w:gutter="0"/>
          <w:pgBorders>
            <w:top w:val="none" w:sz="0" w:space="0"/>
            <w:left w:val="none" w:sz="0" w:space="0"/>
            <w:bottom w:val="none" w:sz="0" w:space="0"/>
            <w:right w:val="none" w:sz="0" w:space="0"/>
          </w:pgBorders>
          <w:pgNumType w:fmt="decimal"/>
          <w:cols w:space="720" w:num="1"/>
        </w:sectPr>
      </w:pPr>
    </w:p>
    <w:p w14:paraId="050C5587">
      <w:pPr>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履行合同所必需的设备专业技术能力证明</w:t>
      </w:r>
    </w:p>
    <w:p w14:paraId="060AAB0B">
      <w:pPr>
        <w:keepNext w:val="0"/>
        <w:keepLines w:val="0"/>
        <w:pageBreakBefore w:val="0"/>
        <w:widowControl w:val="0"/>
        <w:kinsoku/>
        <w:wordWrap w:val="0"/>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（1）服务本项目主要人员一览表</w:t>
      </w:r>
    </w:p>
    <w:tbl>
      <w:tblPr>
        <w:tblStyle w:val="20"/>
        <w:tblW w:w="8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3"/>
        <w:gridCol w:w="1008"/>
        <w:gridCol w:w="1008"/>
        <w:gridCol w:w="1394"/>
        <w:gridCol w:w="1296"/>
        <w:gridCol w:w="1513"/>
        <w:gridCol w:w="1845"/>
      </w:tblGrid>
      <w:tr w14:paraId="72F9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773" w:type="dxa"/>
            <w:vMerge w:val="restart"/>
            <w:vAlign w:val="center"/>
          </w:tcPr>
          <w:p w14:paraId="5ADAE24D">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类别</w:t>
            </w:r>
          </w:p>
        </w:tc>
        <w:tc>
          <w:tcPr>
            <w:tcW w:w="1008" w:type="dxa"/>
            <w:vMerge w:val="restart"/>
            <w:vAlign w:val="center"/>
          </w:tcPr>
          <w:p w14:paraId="18B454C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008" w:type="dxa"/>
            <w:vMerge w:val="restart"/>
            <w:vAlign w:val="center"/>
          </w:tcPr>
          <w:p w14:paraId="6BAC8A1F">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1394" w:type="dxa"/>
            <w:vMerge w:val="restart"/>
            <w:vAlign w:val="center"/>
          </w:tcPr>
          <w:p w14:paraId="3C2EBC67">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职称或执业资格</w:t>
            </w:r>
          </w:p>
        </w:tc>
        <w:tc>
          <w:tcPr>
            <w:tcW w:w="1296" w:type="dxa"/>
            <w:vMerge w:val="restart"/>
            <w:vAlign w:val="center"/>
          </w:tcPr>
          <w:p w14:paraId="52EC60A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3358" w:type="dxa"/>
            <w:gridSpan w:val="2"/>
            <w:vAlign w:val="center"/>
          </w:tcPr>
          <w:p w14:paraId="5B20C3AA">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证件</w:t>
            </w:r>
          </w:p>
        </w:tc>
      </w:tr>
      <w:tr w14:paraId="68E24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0FBFA2B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Merge w:val="continue"/>
            <w:vAlign w:val="center"/>
          </w:tcPr>
          <w:p w14:paraId="35743C0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Merge w:val="continue"/>
            <w:vAlign w:val="center"/>
          </w:tcPr>
          <w:p w14:paraId="50665088">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394" w:type="dxa"/>
            <w:vMerge w:val="continue"/>
            <w:vAlign w:val="center"/>
          </w:tcPr>
          <w:p w14:paraId="6BF858C1">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296" w:type="dxa"/>
            <w:vMerge w:val="continue"/>
            <w:vAlign w:val="center"/>
          </w:tcPr>
          <w:p w14:paraId="484FDFED">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513" w:type="dxa"/>
            <w:vAlign w:val="center"/>
          </w:tcPr>
          <w:p w14:paraId="5042724A">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名称</w:t>
            </w:r>
          </w:p>
        </w:tc>
        <w:tc>
          <w:tcPr>
            <w:tcW w:w="1845" w:type="dxa"/>
            <w:vAlign w:val="center"/>
          </w:tcPr>
          <w:p w14:paraId="36137C97">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号码</w:t>
            </w:r>
          </w:p>
        </w:tc>
      </w:tr>
      <w:tr w14:paraId="303BF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773" w:type="dxa"/>
            <w:vMerge w:val="restart"/>
            <w:textDirection w:val="tbRlV"/>
            <w:vAlign w:val="center"/>
          </w:tcPr>
          <w:p w14:paraId="72ED6A10">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管理人员</w:t>
            </w:r>
          </w:p>
        </w:tc>
        <w:tc>
          <w:tcPr>
            <w:tcW w:w="1008" w:type="dxa"/>
            <w:vAlign w:val="center"/>
          </w:tcPr>
          <w:p w14:paraId="3908231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651F8FD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225ED9E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5DE5AFE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6FB7F1D8">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613DB473">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61008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763116A6">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5105053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0A7397E0">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4BA8C51E">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06B60CB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4DE78F7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4C6B532C">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0C3F2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5ECCD90C">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622442A3">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3B7AB53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0D5C602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E1DCD9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48323E2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0E2C5CBB">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7D415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4A2EBFCB">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075B74E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1354901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43AFC9F6">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C381993">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4D1C2A68">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586B5199">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41403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2B2F7169">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404CC519">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021F83C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34B6216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3DB023C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2CACB64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143CB4D8">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70B91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restart"/>
            <w:textDirection w:val="tbRlV"/>
            <w:vAlign w:val="center"/>
          </w:tcPr>
          <w:p w14:paraId="497571A6">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技术人员</w:t>
            </w:r>
          </w:p>
        </w:tc>
        <w:tc>
          <w:tcPr>
            <w:tcW w:w="1008" w:type="dxa"/>
            <w:vAlign w:val="center"/>
          </w:tcPr>
          <w:p w14:paraId="224EA6FE">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740E3CE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66F61108">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2E89846">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2F0B294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1D1BA112">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5381C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7310BCFA">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42711EE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1F0A209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757C3C87">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091638D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1946F06B">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55DE91D5">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1CF0F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continue"/>
            <w:vAlign w:val="center"/>
          </w:tcPr>
          <w:p w14:paraId="1BD625DF">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p>
        </w:tc>
        <w:tc>
          <w:tcPr>
            <w:tcW w:w="1008" w:type="dxa"/>
            <w:vAlign w:val="center"/>
          </w:tcPr>
          <w:p w14:paraId="7963595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39419FB1">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6208EBCC">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12C10AB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28F4EFE4">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65ADB115">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5577A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773" w:type="dxa"/>
            <w:vMerge w:val="restart"/>
            <w:vAlign w:val="center"/>
          </w:tcPr>
          <w:p w14:paraId="36713CE2">
            <w:pPr>
              <w:widowControl w:val="0"/>
              <w:wordWrap w:val="0"/>
              <w:adjustRightInd/>
              <w:snapToGrid w:val="0"/>
              <w:spacing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其它</w:t>
            </w:r>
          </w:p>
        </w:tc>
        <w:tc>
          <w:tcPr>
            <w:tcW w:w="1008" w:type="dxa"/>
            <w:vAlign w:val="center"/>
          </w:tcPr>
          <w:p w14:paraId="7471E1B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42E505A6">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3051A66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3C84BDA5">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7F16728D">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55808967">
            <w:pPr>
              <w:widowControl w:val="0"/>
              <w:wordWrap w:val="0"/>
              <w:adjustRightInd/>
              <w:snapToGrid w:val="0"/>
              <w:spacing w:line="360" w:lineRule="auto"/>
              <w:textAlignment w:val="auto"/>
              <w:rPr>
                <w:rFonts w:hint="eastAsia" w:ascii="宋体" w:hAnsi="宋体" w:cs="宋体"/>
                <w:color w:val="auto"/>
                <w:sz w:val="24"/>
                <w:szCs w:val="24"/>
                <w:highlight w:val="none"/>
              </w:rPr>
            </w:pPr>
          </w:p>
        </w:tc>
      </w:tr>
      <w:tr w14:paraId="25AF5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773" w:type="dxa"/>
            <w:vMerge w:val="continue"/>
            <w:vAlign w:val="center"/>
          </w:tcPr>
          <w:p w14:paraId="1E4478D0">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3197619A">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008" w:type="dxa"/>
            <w:vAlign w:val="center"/>
          </w:tcPr>
          <w:p w14:paraId="72D82CCF">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394" w:type="dxa"/>
            <w:vAlign w:val="center"/>
          </w:tcPr>
          <w:p w14:paraId="341C7732">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296" w:type="dxa"/>
            <w:vAlign w:val="center"/>
          </w:tcPr>
          <w:p w14:paraId="662C7CBB">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513" w:type="dxa"/>
            <w:vAlign w:val="center"/>
          </w:tcPr>
          <w:p w14:paraId="6436674E">
            <w:pPr>
              <w:widowControl w:val="0"/>
              <w:wordWrap w:val="0"/>
              <w:adjustRightInd/>
              <w:snapToGrid w:val="0"/>
              <w:spacing w:line="360" w:lineRule="auto"/>
              <w:textAlignment w:val="auto"/>
              <w:rPr>
                <w:rFonts w:hint="eastAsia" w:ascii="宋体" w:hAnsi="宋体" w:cs="宋体"/>
                <w:color w:val="auto"/>
                <w:sz w:val="24"/>
                <w:szCs w:val="24"/>
                <w:highlight w:val="none"/>
              </w:rPr>
            </w:pPr>
          </w:p>
        </w:tc>
        <w:tc>
          <w:tcPr>
            <w:tcW w:w="1845" w:type="dxa"/>
            <w:vAlign w:val="center"/>
          </w:tcPr>
          <w:p w14:paraId="084CA9FD">
            <w:pPr>
              <w:widowControl w:val="0"/>
              <w:wordWrap w:val="0"/>
              <w:adjustRightInd/>
              <w:snapToGrid w:val="0"/>
              <w:spacing w:line="360" w:lineRule="auto"/>
              <w:textAlignment w:val="auto"/>
              <w:rPr>
                <w:rFonts w:hint="eastAsia" w:ascii="宋体" w:hAnsi="宋体" w:cs="宋体"/>
                <w:color w:val="auto"/>
                <w:sz w:val="24"/>
                <w:szCs w:val="24"/>
                <w:highlight w:val="none"/>
              </w:rPr>
            </w:pPr>
          </w:p>
        </w:tc>
      </w:tr>
    </w:tbl>
    <w:p w14:paraId="7BA6660B">
      <w:pPr>
        <w:widowControl w:val="0"/>
        <w:wordWrap w:val="0"/>
        <w:adjustRightInd/>
        <w:snapToGrid w:val="0"/>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注：证件应附复印件或影印件，投标人对其真实性负法律责任。</w:t>
      </w:r>
    </w:p>
    <w:p w14:paraId="631890D4">
      <w:pPr>
        <w:pStyle w:val="55"/>
        <w:widowControl w:val="0"/>
        <w:adjustRightInd/>
        <w:snapToGrid w:val="0"/>
        <w:spacing w:line="360" w:lineRule="auto"/>
        <w:ind w:firstLine="0" w:firstLineChars="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（2）其它证明。</w:t>
      </w:r>
    </w:p>
    <w:p w14:paraId="48DD086E">
      <w:pPr>
        <w:rPr>
          <w:rFonts w:hint="eastAsia" w:ascii="宋体" w:hAnsi="宋体" w:eastAsia="宋体" w:cs="@仿宋_GB2312"/>
          <w:b/>
          <w:color w:val="auto"/>
          <w:kern w:val="2"/>
          <w:sz w:val="24"/>
          <w:szCs w:val="20"/>
          <w:highlight w:val="none"/>
          <w:lang w:val="en-US" w:eastAsia="zh-CN"/>
        </w:rPr>
      </w:pPr>
    </w:p>
    <w:bookmarkEnd w:id="191"/>
    <w:bookmarkEnd w:id="192"/>
    <w:p w14:paraId="0D2C1610">
      <w:pPr>
        <w:rPr>
          <w:rFonts w:hint="eastAsia" w:ascii="宋体" w:hAnsi="宋体" w:eastAsia="宋体" w:cs="@仿宋_GB2312"/>
          <w:b/>
          <w:color w:val="auto"/>
          <w:kern w:val="2"/>
          <w:sz w:val="24"/>
          <w:szCs w:val="20"/>
          <w:highlight w:val="none"/>
          <w:lang w:val="en-US" w:eastAsia="zh-CN"/>
        </w:rPr>
      </w:pPr>
      <w:bookmarkStart w:id="195" w:name="_Toc11380"/>
      <w:r>
        <w:rPr>
          <w:rFonts w:hint="eastAsia" w:ascii="宋体" w:hAnsi="宋体" w:eastAsia="宋体" w:cs="@仿宋_GB2312"/>
          <w:b/>
          <w:color w:val="auto"/>
          <w:kern w:val="2"/>
          <w:sz w:val="24"/>
          <w:szCs w:val="20"/>
          <w:highlight w:val="none"/>
          <w:lang w:val="en-US" w:eastAsia="zh-CN"/>
        </w:rPr>
        <w:br w:type="page"/>
      </w:r>
    </w:p>
    <w:bookmarkEnd w:id="195"/>
    <w:p w14:paraId="54F04CC2">
      <w:pPr>
        <w:keepNext w:val="0"/>
        <w:keepLines w:val="0"/>
        <w:pageBreakBefore w:val="0"/>
        <w:widowControl/>
        <w:kinsoku/>
        <w:wordWrap/>
        <w:overflowPunct/>
        <w:topLinePunct w:val="0"/>
        <w:bidi w:val="0"/>
        <w:adjustRightInd/>
        <w:snapToGrid w:val="0"/>
        <w:spacing w:line="360" w:lineRule="auto"/>
        <w:jc w:val="center"/>
        <w:textAlignment w:val="auto"/>
        <w:rPr>
          <w:rFonts w:hint="eastAsia" w:ascii="宋体" w:hAnsi="宋体" w:eastAsia="宋体" w:cs="@仿宋_GB2312"/>
          <w:b/>
          <w:color w:val="auto"/>
          <w:kern w:val="2"/>
          <w:sz w:val="24"/>
          <w:szCs w:val="20"/>
          <w:highlight w:val="none"/>
          <w:lang w:val="en-US" w:eastAsia="zh-CN" w:bidi="ar-SA"/>
        </w:rPr>
      </w:pPr>
      <w:bookmarkStart w:id="196" w:name="OLE_LINK14"/>
      <w:bookmarkStart w:id="197" w:name="_Toc9573"/>
      <w:bookmarkStart w:id="198" w:name="_Toc31244"/>
      <w:bookmarkStart w:id="199" w:name="OLE_LINK13"/>
      <w:r>
        <w:rPr>
          <w:rFonts w:hint="eastAsia" w:ascii="宋体" w:hAnsi="宋体" w:eastAsia="宋体" w:cs="@仿宋_GB2312"/>
          <w:b/>
          <w:color w:val="auto"/>
          <w:kern w:val="2"/>
          <w:sz w:val="24"/>
          <w:szCs w:val="20"/>
          <w:highlight w:val="none"/>
          <w:lang w:val="en-US" w:eastAsia="zh-CN" w:bidi="ar-SA"/>
        </w:rPr>
        <w:t>9.投标业绩承诺函（如有）</w:t>
      </w:r>
    </w:p>
    <w:p w14:paraId="00FE5F4A">
      <w:pPr>
        <w:keepNext w:val="0"/>
        <w:keepLines w:val="0"/>
        <w:pageBreakBefore w:val="0"/>
        <w:widowControl w:val="0"/>
        <w:kinsoku/>
        <w:wordWrap/>
        <w:overflowPunct/>
        <w:topLinePunct w:val="0"/>
        <w:autoSpaceDE w:val="0"/>
        <w:autoSpaceDN w:val="0"/>
        <w:bidi w:val="0"/>
        <w:adjustRightInd/>
        <w:snapToGrid w:val="0"/>
        <w:spacing w:after="0"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我单位同意中标结果公告中公示以下业绩并承诺：投标文件中所提供的业绩均真实有效，且不属于与关联公司（如母公司、控股公司、分公司、子公司、同一法定代表人的公司）之间的业绩，若被发现存在任何虚假、隐瞒情况，我单位承担由此产生的一切后果。</w:t>
      </w:r>
    </w:p>
    <w:p w14:paraId="44674FD9">
      <w:pPr>
        <w:pStyle w:val="2"/>
        <w:rPr>
          <w:rFonts w:hint="eastAsia" w:ascii="宋体" w:hAnsi="宋体" w:eastAsia="宋体" w:cs="宋体"/>
          <w:b w:val="0"/>
          <w:bCs w:val="0"/>
          <w:color w:val="auto"/>
          <w:kern w:val="0"/>
          <w:sz w:val="24"/>
          <w:szCs w:val="24"/>
          <w:highlight w:val="none"/>
          <w:lang w:val="en-US" w:eastAsia="zh-CN" w:bidi="ar-SA"/>
        </w:rPr>
      </w:pPr>
    </w:p>
    <w:p w14:paraId="5B6D4A1F">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08579E01">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3104F171">
      <w:pPr>
        <w:pStyle w:val="2"/>
        <w:rPr>
          <w:rFonts w:hint="eastAsia" w:ascii="宋体" w:hAnsi="宋体" w:eastAsia="宋体" w:cs="宋体"/>
          <w:b w:val="0"/>
          <w:bCs w:val="0"/>
          <w:color w:val="auto"/>
          <w:kern w:val="0"/>
          <w:sz w:val="24"/>
          <w:szCs w:val="24"/>
          <w:highlight w:val="none"/>
          <w:lang w:val="en-US" w:eastAsia="zh-CN" w:bidi="ar-SA"/>
        </w:rPr>
      </w:pPr>
    </w:p>
    <w:p w14:paraId="427ACB7D">
      <w:pPr>
        <w:pStyle w:val="2"/>
        <w:rPr>
          <w:rFonts w:hint="eastAsia" w:ascii="宋体" w:hAnsi="宋体" w:eastAsia="宋体" w:cs="宋体"/>
          <w:b w:val="0"/>
          <w:bCs w:val="0"/>
          <w:color w:val="auto"/>
          <w:kern w:val="0"/>
          <w:sz w:val="24"/>
          <w:szCs w:val="24"/>
          <w:highlight w:val="none"/>
          <w:lang w:val="en-US" w:eastAsia="zh-CN" w:bidi="ar-SA"/>
        </w:rPr>
      </w:pPr>
    </w:p>
    <w:tbl>
      <w:tblPr>
        <w:tblStyle w:val="20"/>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362"/>
        <w:gridCol w:w="1731"/>
        <w:gridCol w:w="1731"/>
        <w:gridCol w:w="1733"/>
      </w:tblGrid>
      <w:tr w14:paraId="7742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6C3E770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序号</w:t>
            </w:r>
          </w:p>
        </w:tc>
        <w:tc>
          <w:tcPr>
            <w:tcW w:w="2362" w:type="dxa"/>
            <w:tcBorders>
              <w:top w:val="single" w:color="auto" w:sz="4" w:space="0"/>
              <w:left w:val="single" w:color="auto" w:sz="4" w:space="0"/>
              <w:bottom w:val="single" w:color="auto" w:sz="4" w:space="0"/>
              <w:right w:val="single" w:color="auto" w:sz="4" w:space="0"/>
            </w:tcBorders>
            <w:vAlign w:val="center"/>
          </w:tcPr>
          <w:p w14:paraId="14188388">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Calibri" w:cs="宋体"/>
                <w:color w:val="auto"/>
                <w:kern w:val="0"/>
                <w:sz w:val="24"/>
                <w:szCs w:val="24"/>
                <w:highlight w:val="none"/>
                <w:lang w:eastAsia="en-US"/>
              </w:rPr>
              <w:t>业绩名称</w:t>
            </w:r>
          </w:p>
        </w:tc>
        <w:tc>
          <w:tcPr>
            <w:tcW w:w="1731" w:type="dxa"/>
            <w:tcBorders>
              <w:top w:val="single" w:color="auto" w:sz="4" w:space="0"/>
              <w:left w:val="single" w:color="auto" w:sz="4" w:space="0"/>
              <w:bottom w:val="single" w:color="auto" w:sz="4" w:space="0"/>
              <w:right w:val="single" w:color="auto" w:sz="4" w:space="0"/>
            </w:tcBorders>
            <w:vAlign w:val="center"/>
          </w:tcPr>
          <w:p w14:paraId="36110093">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val="en-US" w:eastAsia="zh-CN"/>
              </w:rPr>
              <w:t>合同甲方</w:t>
            </w:r>
          </w:p>
        </w:tc>
        <w:tc>
          <w:tcPr>
            <w:tcW w:w="1731" w:type="dxa"/>
            <w:tcBorders>
              <w:top w:val="single" w:color="auto" w:sz="4" w:space="0"/>
              <w:left w:val="single" w:color="auto" w:sz="4" w:space="0"/>
              <w:bottom w:val="single" w:color="auto" w:sz="4" w:space="0"/>
              <w:right w:val="single" w:color="auto" w:sz="4" w:space="0"/>
            </w:tcBorders>
            <w:vAlign w:val="center"/>
          </w:tcPr>
          <w:p w14:paraId="7B7E7391">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val="en-US" w:eastAsia="zh-CN"/>
              </w:rPr>
              <w:t>合同乙方</w:t>
            </w:r>
          </w:p>
        </w:tc>
        <w:tc>
          <w:tcPr>
            <w:tcW w:w="1733" w:type="dxa"/>
            <w:tcBorders>
              <w:top w:val="single" w:color="auto" w:sz="4" w:space="0"/>
              <w:left w:val="single" w:color="auto" w:sz="4" w:space="0"/>
              <w:bottom w:val="single" w:color="auto" w:sz="4" w:space="0"/>
              <w:right w:val="single" w:color="auto" w:sz="4" w:space="0"/>
            </w:tcBorders>
            <w:vAlign w:val="center"/>
          </w:tcPr>
          <w:p w14:paraId="433C8105">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合同签订时间</w:t>
            </w:r>
          </w:p>
        </w:tc>
      </w:tr>
      <w:tr w14:paraId="16E4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EE98BD9">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1</w:t>
            </w:r>
          </w:p>
        </w:tc>
        <w:tc>
          <w:tcPr>
            <w:tcW w:w="2362" w:type="dxa"/>
            <w:tcBorders>
              <w:top w:val="single" w:color="auto" w:sz="4" w:space="0"/>
              <w:left w:val="single" w:color="auto" w:sz="4" w:space="0"/>
              <w:bottom w:val="single" w:color="auto" w:sz="4" w:space="0"/>
              <w:right w:val="single" w:color="auto" w:sz="4" w:space="0"/>
            </w:tcBorders>
            <w:vAlign w:val="center"/>
          </w:tcPr>
          <w:p w14:paraId="0DE2F208">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064B8857">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0C1FA0E6">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05F5A43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7443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44F894B">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2</w:t>
            </w:r>
          </w:p>
        </w:tc>
        <w:tc>
          <w:tcPr>
            <w:tcW w:w="2362" w:type="dxa"/>
            <w:tcBorders>
              <w:top w:val="single" w:color="auto" w:sz="4" w:space="0"/>
              <w:left w:val="single" w:color="auto" w:sz="4" w:space="0"/>
              <w:bottom w:val="single" w:color="auto" w:sz="4" w:space="0"/>
              <w:right w:val="single" w:color="auto" w:sz="4" w:space="0"/>
            </w:tcBorders>
            <w:vAlign w:val="center"/>
          </w:tcPr>
          <w:p w14:paraId="596C82E7">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27B14D5A">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4401B0AB">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66589E6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1668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13E83738">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3</w:t>
            </w:r>
          </w:p>
        </w:tc>
        <w:tc>
          <w:tcPr>
            <w:tcW w:w="2362" w:type="dxa"/>
            <w:tcBorders>
              <w:top w:val="single" w:color="auto" w:sz="4" w:space="0"/>
              <w:left w:val="single" w:color="auto" w:sz="4" w:space="0"/>
              <w:bottom w:val="single" w:color="auto" w:sz="4" w:space="0"/>
              <w:right w:val="single" w:color="auto" w:sz="4" w:space="0"/>
            </w:tcBorders>
            <w:vAlign w:val="center"/>
          </w:tcPr>
          <w:p w14:paraId="57912C00">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6D3145D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748E4F85">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61DF6A2D">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36B5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4E3931F">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4</w:t>
            </w:r>
          </w:p>
        </w:tc>
        <w:tc>
          <w:tcPr>
            <w:tcW w:w="2362" w:type="dxa"/>
            <w:tcBorders>
              <w:top w:val="single" w:color="auto" w:sz="4" w:space="0"/>
              <w:left w:val="single" w:color="auto" w:sz="4" w:space="0"/>
              <w:bottom w:val="single" w:color="auto" w:sz="4" w:space="0"/>
              <w:right w:val="single" w:color="auto" w:sz="4" w:space="0"/>
            </w:tcBorders>
            <w:vAlign w:val="center"/>
          </w:tcPr>
          <w:p w14:paraId="6D5522B0">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02DDA56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1BB04436">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5478DA96">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0E9C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9DA0500">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5</w:t>
            </w:r>
          </w:p>
        </w:tc>
        <w:tc>
          <w:tcPr>
            <w:tcW w:w="2362" w:type="dxa"/>
            <w:tcBorders>
              <w:top w:val="single" w:color="auto" w:sz="4" w:space="0"/>
              <w:left w:val="single" w:color="auto" w:sz="4" w:space="0"/>
              <w:bottom w:val="single" w:color="auto" w:sz="4" w:space="0"/>
              <w:right w:val="single" w:color="auto" w:sz="4" w:space="0"/>
            </w:tcBorders>
            <w:vAlign w:val="center"/>
          </w:tcPr>
          <w:p w14:paraId="637DA7FF">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1C49AB9E">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3E5C7F3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41AA72A6">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r w14:paraId="46D5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8CBD6A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r>
              <w:rPr>
                <w:rFonts w:hint="eastAsia" w:ascii="宋体" w:hAnsi="宋体" w:eastAsia="Calibri" w:cs="宋体"/>
                <w:color w:val="auto"/>
                <w:kern w:val="0"/>
                <w:sz w:val="24"/>
                <w:szCs w:val="24"/>
                <w:highlight w:val="none"/>
                <w:lang w:eastAsia="en-US"/>
              </w:rPr>
              <w:t>...</w:t>
            </w:r>
          </w:p>
        </w:tc>
        <w:tc>
          <w:tcPr>
            <w:tcW w:w="2362" w:type="dxa"/>
            <w:tcBorders>
              <w:top w:val="single" w:color="auto" w:sz="4" w:space="0"/>
              <w:left w:val="single" w:color="auto" w:sz="4" w:space="0"/>
              <w:bottom w:val="single" w:color="auto" w:sz="4" w:space="0"/>
              <w:right w:val="single" w:color="auto" w:sz="4" w:space="0"/>
            </w:tcBorders>
            <w:vAlign w:val="center"/>
          </w:tcPr>
          <w:p w14:paraId="3F1E243F">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5FF64B51">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1" w:type="dxa"/>
            <w:tcBorders>
              <w:top w:val="single" w:color="auto" w:sz="4" w:space="0"/>
              <w:left w:val="single" w:color="auto" w:sz="4" w:space="0"/>
              <w:bottom w:val="single" w:color="auto" w:sz="4" w:space="0"/>
              <w:right w:val="single" w:color="auto" w:sz="4" w:space="0"/>
            </w:tcBorders>
            <w:vAlign w:val="center"/>
          </w:tcPr>
          <w:p w14:paraId="1938786D">
            <w:pPr>
              <w:keepNext w:val="0"/>
              <w:keepLines w:val="0"/>
              <w:pageBreakBefore w:val="0"/>
              <w:widowControl w:val="0"/>
              <w:kinsoku/>
              <w:wordWrap/>
              <w:overflowPunct/>
              <w:topLinePunct w:val="0"/>
              <w:bidi w:val="0"/>
              <w:adjustRightInd/>
              <w:snapToGrid w:val="0"/>
              <w:spacing w:after="0" w:line="360" w:lineRule="auto"/>
              <w:jc w:val="left"/>
              <w:textAlignment w:val="auto"/>
              <w:rPr>
                <w:rFonts w:hint="eastAsia" w:ascii="宋体" w:hAnsi="宋体" w:eastAsia="Calibri" w:cs="宋体"/>
                <w:color w:val="auto"/>
                <w:kern w:val="0"/>
                <w:sz w:val="24"/>
                <w:szCs w:val="24"/>
                <w:highlight w:val="none"/>
                <w:lang w:eastAsia="en-US"/>
              </w:rPr>
            </w:pPr>
          </w:p>
        </w:tc>
        <w:tc>
          <w:tcPr>
            <w:tcW w:w="1733" w:type="dxa"/>
            <w:tcBorders>
              <w:top w:val="single" w:color="auto" w:sz="4" w:space="0"/>
              <w:left w:val="single" w:color="auto" w:sz="4" w:space="0"/>
              <w:bottom w:val="single" w:color="auto" w:sz="4" w:space="0"/>
              <w:right w:val="single" w:color="auto" w:sz="4" w:space="0"/>
            </w:tcBorders>
            <w:vAlign w:val="center"/>
          </w:tcPr>
          <w:p w14:paraId="68865DDC">
            <w:pPr>
              <w:keepNext w:val="0"/>
              <w:keepLines w:val="0"/>
              <w:pageBreakBefore w:val="0"/>
              <w:widowControl w:val="0"/>
              <w:kinsoku/>
              <w:wordWrap/>
              <w:overflowPunct/>
              <w:topLinePunct w:val="0"/>
              <w:bidi w:val="0"/>
              <w:adjustRightInd/>
              <w:snapToGrid w:val="0"/>
              <w:spacing w:after="0" w:line="360" w:lineRule="auto"/>
              <w:jc w:val="center"/>
              <w:textAlignment w:val="auto"/>
              <w:rPr>
                <w:rFonts w:hint="eastAsia" w:ascii="宋体" w:hAnsi="宋体" w:eastAsia="Calibri" w:cs="宋体"/>
                <w:color w:val="auto"/>
                <w:kern w:val="0"/>
                <w:sz w:val="24"/>
                <w:szCs w:val="24"/>
                <w:highlight w:val="none"/>
                <w:lang w:eastAsia="en-US"/>
              </w:rPr>
            </w:pPr>
          </w:p>
        </w:tc>
      </w:tr>
    </w:tbl>
    <w:p w14:paraId="795B54F0">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仿宋_GB2312"/>
          <w:b/>
          <w:color w:val="auto"/>
          <w:kern w:val="2"/>
          <w:sz w:val="24"/>
          <w:szCs w:val="20"/>
          <w:highlight w:val="none"/>
          <w:lang w:val="en-US" w:eastAsia="zh-CN" w:bidi="ar-SA"/>
        </w:rPr>
      </w:pPr>
    </w:p>
    <w:p w14:paraId="189C3C2F">
      <w:pPr>
        <w:tabs>
          <w:tab w:val="left" w:pos="1815"/>
        </w:tabs>
        <w:snapToGrid w:val="0"/>
        <w:ind w:firstLine="560" w:firstLineChars="200"/>
        <w:rPr>
          <w:rFonts w:hint="eastAsia" w:ascii="宋体" w:hAnsi="宋体" w:cs="宋体"/>
          <w:color w:val="auto"/>
          <w:sz w:val="28"/>
          <w:szCs w:val="28"/>
          <w:highlight w:val="none"/>
        </w:rPr>
      </w:pPr>
    </w:p>
    <w:p w14:paraId="60548975">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10.业绩合同（如有）</w:t>
      </w:r>
    </w:p>
    <w:p w14:paraId="20B3115A">
      <w:pPr>
        <w:rPr>
          <w:rFonts w:hint="eastAsia" w:ascii="宋体" w:hAnsi="宋体" w:cs="宋体"/>
          <w:bCs w:val="0"/>
          <w:color w:val="auto"/>
          <w:highlight w:val="none"/>
        </w:rPr>
      </w:pPr>
      <w:r>
        <w:rPr>
          <w:rFonts w:hint="eastAsia" w:ascii="宋体" w:hAnsi="宋体" w:cs="宋体"/>
          <w:bCs w:val="0"/>
          <w:color w:val="auto"/>
          <w:highlight w:val="none"/>
        </w:rPr>
        <w:br w:type="page"/>
      </w:r>
    </w:p>
    <w:bookmarkEnd w:id="196"/>
    <w:bookmarkEnd w:id="197"/>
    <w:bookmarkEnd w:id="198"/>
    <w:bookmarkEnd w:id="199"/>
    <w:p w14:paraId="3A5EC73E">
      <w:pPr>
        <w:widowControl/>
        <w:spacing w:after="0" w:line="240" w:lineRule="auto"/>
        <w:jc w:val="left"/>
        <w:rPr>
          <w:rFonts w:ascii="宋体" w:hAnsi="宋体" w:eastAsia="宋体" w:cs="@仿宋_GB2312"/>
          <w:color w:val="auto"/>
          <w:kern w:val="2"/>
          <w:sz w:val="24"/>
          <w:szCs w:val="20"/>
          <w:highlight w:val="none"/>
          <w:lang w:eastAsia="zh-CN"/>
        </w:rPr>
      </w:pPr>
    </w:p>
    <w:p w14:paraId="413393EB">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bookmarkStart w:id="200" w:name="_Toc25813"/>
      <w:bookmarkStart w:id="201" w:name="_Toc26536"/>
      <w:bookmarkStart w:id="202" w:name="_Hlk11701496"/>
      <w:r>
        <w:rPr>
          <w:rFonts w:hint="eastAsia" w:ascii="宋体" w:hAnsi="宋体" w:eastAsia="宋体" w:cs="@仿宋_GB2312"/>
          <w:b/>
          <w:color w:val="auto"/>
          <w:kern w:val="2"/>
          <w:sz w:val="24"/>
          <w:szCs w:val="20"/>
          <w:highlight w:val="none"/>
          <w:lang w:val="en-US" w:eastAsia="zh-CN"/>
        </w:rPr>
        <w:t>11.诚信履约承诺函</w:t>
      </w:r>
      <w:bookmarkEnd w:id="200"/>
      <w:bookmarkEnd w:id="201"/>
    </w:p>
    <w:p w14:paraId="795E377F">
      <w:pPr>
        <w:spacing w:after="0" w:line="360" w:lineRule="auto"/>
        <w:jc w:val="both"/>
        <w:rPr>
          <w:rFonts w:ascii="宋体" w:hAnsi="宋体" w:eastAsia="宋体" w:cs="@仿宋_GB2312"/>
          <w:b/>
          <w:bCs/>
          <w:color w:val="auto"/>
          <w:kern w:val="2"/>
          <w:sz w:val="24"/>
          <w:szCs w:val="20"/>
          <w:highlight w:val="none"/>
          <w:lang w:eastAsia="zh-CN"/>
        </w:rPr>
      </w:pPr>
    </w:p>
    <w:p w14:paraId="6897E206">
      <w:pPr>
        <w:spacing w:after="0" w:line="360" w:lineRule="auto"/>
        <w:jc w:val="both"/>
        <w:rPr>
          <w:rFonts w:hint="eastAsia" w:ascii="宋体" w:hAnsi="宋体" w:eastAsia="宋体" w:cs="@仿宋_GB2312"/>
          <w:b/>
          <w:bCs/>
          <w:color w:val="auto"/>
          <w:kern w:val="2"/>
          <w:sz w:val="24"/>
          <w:szCs w:val="20"/>
          <w:highlight w:val="none"/>
          <w:u w:val="single"/>
          <w:lang w:eastAsia="zh-CN"/>
        </w:rPr>
      </w:pPr>
      <w:r>
        <w:rPr>
          <w:rFonts w:hint="eastAsia" w:ascii="宋体" w:hAnsi="宋体" w:eastAsia="宋体" w:cs="@仿宋_GB2312"/>
          <w:b/>
          <w:bCs/>
          <w:color w:val="auto"/>
          <w:kern w:val="2"/>
          <w:sz w:val="24"/>
          <w:szCs w:val="20"/>
          <w:highlight w:val="none"/>
          <w:lang w:eastAsia="zh-CN"/>
        </w:rPr>
        <w:t>致：</w:t>
      </w:r>
      <w:r>
        <w:rPr>
          <w:rFonts w:hint="eastAsia" w:ascii="宋体" w:hAnsi="宋体" w:eastAsia="宋体" w:cs="@仿宋_GB2312"/>
          <w:b/>
          <w:bCs/>
          <w:color w:val="auto"/>
          <w:kern w:val="2"/>
          <w:sz w:val="24"/>
          <w:szCs w:val="20"/>
          <w:highlight w:val="none"/>
          <w:u w:val="none"/>
          <w:lang w:eastAsia="zh-CN"/>
        </w:rPr>
        <w:t>采购人</w:t>
      </w:r>
    </w:p>
    <w:p w14:paraId="3D3FE790">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84D4C7F">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（1）中标或者成交后无正当理由拒不与采购人签订政府采购合同；</w:t>
      </w:r>
    </w:p>
    <w:p w14:paraId="14370097">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（2）未按照采购文件确定的事项签订政府采购合同；</w:t>
      </w:r>
    </w:p>
    <w:p w14:paraId="50AD90C5">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（3）将政府采购合同转包；</w:t>
      </w:r>
    </w:p>
    <w:p w14:paraId="2B647361">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（4）提供假冒伪劣产品；</w:t>
      </w:r>
    </w:p>
    <w:p w14:paraId="7D5E72DC">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（5）擅自变更、中止或者终止政府采购合同。</w:t>
      </w:r>
    </w:p>
    <w:p w14:paraId="530D126A">
      <w:pPr>
        <w:spacing w:after="0" w:line="360" w:lineRule="auto"/>
        <w:ind w:firstLine="480" w:firstLineChars="200"/>
        <w:jc w:val="both"/>
        <w:rPr>
          <w:rFonts w:ascii="宋体" w:hAnsi="宋体" w:eastAsia="宋体" w:cs="@仿宋_GB2312"/>
          <w:bCs/>
          <w:color w:val="auto"/>
          <w:kern w:val="2"/>
          <w:sz w:val="24"/>
          <w:szCs w:val="20"/>
          <w:highlight w:val="none"/>
          <w:lang w:eastAsia="zh-CN"/>
        </w:rPr>
      </w:pPr>
      <w:r>
        <w:rPr>
          <w:rFonts w:hint="eastAsia" w:ascii="宋体" w:hAnsi="宋体" w:eastAsia="宋体" w:cs="@仿宋_GB2312"/>
          <w:bCs/>
          <w:color w:val="auto"/>
          <w:kern w:val="2"/>
          <w:sz w:val="24"/>
          <w:szCs w:val="20"/>
          <w:highlight w:val="none"/>
          <w:lang w:eastAsia="zh-CN"/>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71FB8F">
      <w:pPr>
        <w:spacing w:after="0" w:line="360" w:lineRule="auto"/>
        <w:jc w:val="both"/>
        <w:rPr>
          <w:rFonts w:ascii="宋体" w:hAnsi="宋体" w:eastAsia="宋体" w:cs="@仿宋_GB2312"/>
          <w:bCs/>
          <w:color w:val="auto"/>
          <w:kern w:val="2"/>
          <w:sz w:val="24"/>
          <w:szCs w:val="20"/>
          <w:highlight w:val="none"/>
          <w:lang w:eastAsia="zh-CN"/>
        </w:rPr>
      </w:pPr>
    </w:p>
    <w:p w14:paraId="1583E04A">
      <w:pPr>
        <w:spacing w:after="0" w:line="360" w:lineRule="auto"/>
        <w:jc w:val="both"/>
        <w:rPr>
          <w:rFonts w:ascii="宋体" w:hAnsi="宋体" w:eastAsia="宋体" w:cs="@仿宋_GB2312"/>
          <w:bCs/>
          <w:color w:val="auto"/>
          <w:kern w:val="2"/>
          <w:sz w:val="24"/>
          <w:szCs w:val="20"/>
          <w:highlight w:val="none"/>
          <w:lang w:eastAsia="zh-CN"/>
        </w:rPr>
      </w:pPr>
    </w:p>
    <w:p w14:paraId="2BA36CA7">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1584E5C0">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7C821FC8">
      <w:pPr>
        <w:widowControl/>
        <w:spacing w:after="0" w:line="240" w:lineRule="auto"/>
        <w:jc w:val="left"/>
        <w:rPr>
          <w:rFonts w:ascii="宋体" w:hAnsi="宋体" w:eastAsia="宋体" w:cs="Arial"/>
          <w:color w:val="auto"/>
          <w:kern w:val="2"/>
          <w:sz w:val="24"/>
          <w:szCs w:val="20"/>
          <w:highlight w:val="none"/>
          <w:lang w:eastAsia="zh-CN"/>
        </w:rPr>
      </w:pPr>
      <w:r>
        <w:rPr>
          <w:rFonts w:ascii="宋体" w:hAnsi="宋体" w:eastAsia="宋体" w:cs="Arial"/>
          <w:color w:val="auto"/>
          <w:kern w:val="2"/>
          <w:sz w:val="24"/>
          <w:szCs w:val="20"/>
          <w:highlight w:val="none"/>
          <w:lang w:eastAsia="zh-CN"/>
        </w:rPr>
        <w:br w:type="page"/>
      </w:r>
    </w:p>
    <w:bookmarkEnd w:id="202"/>
    <w:p w14:paraId="72D4519C">
      <w:pPr>
        <w:spacing w:after="0" w:line="360" w:lineRule="auto"/>
        <w:jc w:val="center"/>
        <w:outlineLvl w:val="1"/>
        <w:rPr>
          <w:rFonts w:hint="eastAsia" w:ascii="宋体" w:hAnsi="宋体" w:eastAsia="宋体" w:cs="@仿宋_GB2312"/>
          <w:b/>
          <w:color w:val="auto"/>
          <w:kern w:val="2"/>
          <w:sz w:val="24"/>
          <w:szCs w:val="20"/>
          <w:highlight w:val="none"/>
          <w:lang w:val="en-US" w:eastAsia="zh-CN"/>
        </w:rPr>
      </w:pPr>
      <w:bookmarkStart w:id="203" w:name="_Toc32633"/>
      <w:bookmarkStart w:id="204" w:name="_Toc2683"/>
      <w:r>
        <w:rPr>
          <w:rFonts w:hint="eastAsia" w:ascii="宋体" w:hAnsi="宋体" w:eastAsia="宋体" w:cs="@仿宋_GB2312"/>
          <w:b/>
          <w:color w:val="auto"/>
          <w:kern w:val="2"/>
          <w:sz w:val="24"/>
          <w:szCs w:val="20"/>
          <w:highlight w:val="none"/>
          <w:lang w:val="en-US" w:eastAsia="zh-CN"/>
        </w:rPr>
        <w:t>12.</w:t>
      </w:r>
      <w:bookmarkEnd w:id="203"/>
      <w:bookmarkEnd w:id="204"/>
      <w:r>
        <w:rPr>
          <w:rFonts w:hint="eastAsia" w:ascii="宋体" w:hAnsi="宋体" w:eastAsia="宋体" w:cs="@仿宋_GB2312"/>
          <w:b/>
          <w:color w:val="auto"/>
          <w:kern w:val="2"/>
          <w:sz w:val="24"/>
          <w:szCs w:val="20"/>
          <w:highlight w:val="none"/>
          <w:lang w:val="en-US" w:eastAsia="zh-CN"/>
        </w:rPr>
        <w:t>资格、技术及商务部分需要的其他相关证明材料</w:t>
      </w:r>
    </w:p>
    <w:p w14:paraId="1869A251">
      <w:pPr>
        <w:spacing w:after="0" w:line="360" w:lineRule="auto"/>
        <w:ind w:firstLine="435"/>
        <w:jc w:val="both"/>
        <w:rPr>
          <w:rFonts w:hint="eastAsia" w:ascii="宋体" w:hAnsi="宋体" w:eastAsia="宋体" w:cs="@仿宋_GB2312"/>
          <w:color w:val="auto"/>
          <w:kern w:val="2"/>
          <w:sz w:val="24"/>
          <w:szCs w:val="20"/>
          <w:highlight w:val="none"/>
          <w:lang w:eastAsia="zh-CN"/>
        </w:rPr>
      </w:pPr>
    </w:p>
    <w:p w14:paraId="42A0FECE">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提供符合</w:t>
      </w:r>
      <w:r>
        <w:rPr>
          <w:rFonts w:hint="eastAsia" w:ascii="宋体" w:hAnsi="宋体" w:eastAsia="宋体" w:cs="@仿宋_GB2312"/>
          <w:color w:val="auto"/>
          <w:kern w:val="2"/>
          <w:sz w:val="24"/>
          <w:szCs w:val="20"/>
          <w:highlight w:val="none"/>
          <w:lang w:val="en-US" w:eastAsia="zh-CN"/>
        </w:rPr>
        <w:t>招标公告</w:t>
      </w:r>
      <w:r>
        <w:rPr>
          <w:rFonts w:hint="eastAsia" w:ascii="宋体" w:hAnsi="宋体" w:eastAsia="宋体" w:cs="@仿宋_GB2312"/>
          <w:color w:val="auto"/>
          <w:kern w:val="2"/>
          <w:sz w:val="24"/>
          <w:szCs w:val="20"/>
          <w:highlight w:val="none"/>
          <w:lang w:eastAsia="zh-CN"/>
        </w:rPr>
        <w:t>、采购需求及评标方法和标准规定的相关证明文件。</w:t>
      </w:r>
    </w:p>
    <w:p w14:paraId="4A60C2ED">
      <w:pPr>
        <w:spacing w:after="0" w:line="360" w:lineRule="auto"/>
        <w:ind w:firstLine="480" w:firstLineChars="200"/>
        <w:jc w:val="both"/>
        <w:rPr>
          <w:rFonts w:ascii="宋体" w:hAnsi="宋体" w:eastAsia="宋体" w:cs="@仿宋_GB2312"/>
          <w:color w:val="auto"/>
          <w:kern w:val="2"/>
          <w:sz w:val="24"/>
          <w:szCs w:val="20"/>
          <w:highlight w:val="none"/>
          <w:lang w:eastAsia="zh-CN"/>
        </w:rPr>
      </w:pPr>
    </w:p>
    <w:p w14:paraId="61A05E36">
      <w:pPr>
        <w:spacing w:after="0" w:line="360" w:lineRule="auto"/>
        <w:ind w:firstLine="435"/>
        <w:jc w:val="both"/>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特别提示：</w:t>
      </w:r>
    </w:p>
    <w:p w14:paraId="5F06C19B">
      <w:pPr>
        <w:spacing w:after="0" w:line="360" w:lineRule="auto"/>
        <w:ind w:firstLine="435"/>
        <w:jc w:val="both"/>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投标人在投标文件制作时可在此栏内上传</w:t>
      </w:r>
      <w:r>
        <w:rPr>
          <w:rFonts w:ascii="宋体" w:hAnsi="宋体" w:eastAsia="宋体" w:cs="@仿宋_GB2312"/>
          <w:color w:val="auto"/>
          <w:kern w:val="2"/>
          <w:sz w:val="24"/>
          <w:szCs w:val="20"/>
          <w:highlight w:val="none"/>
          <w:lang w:eastAsia="zh-CN"/>
        </w:rPr>
        <w:t>招标文件要求上传的证明资料</w:t>
      </w:r>
      <w:r>
        <w:rPr>
          <w:rFonts w:hint="eastAsia" w:ascii="宋体" w:hAnsi="宋体" w:eastAsia="宋体" w:cs="@仿宋_GB2312"/>
          <w:color w:val="auto"/>
          <w:kern w:val="2"/>
          <w:sz w:val="24"/>
          <w:szCs w:val="20"/>
          <w:highlight w:val="none"/>
          <w:lang w:eastAsia="zh-CN"/>
        </w:rPr>
        <w:t>，</w:t>
      </w:r>
      <w:r>
        <w:rPr>
          <w:rFonts w:hint="eastAsia" w:asciiTheme="minorEastAsia" w:hAnsiTheme="minorEastAsia" w:eastAsiaTheme="minorEastAsia"/>
          <w:color w:val="auto"/>
          <w:sz w:val="24"/>
          <w:highlight w:val="none"/>
        </w:rPr>
        <w:t>如营业执照、证书等，</w:t>
      </w:r>
      <w:r>
        <w:rPr>
          <w:rFonts w:ascii="宋体" w:hAnsi="宋体" w:eastAsia="宋体" w:cs="@仿宋_GB2312"/>
          <w:color w:val="auto"/>
          <w:kern w:val="2"/>
          <w:sz w:val="24"/>
          <w:szCs w:val="20"/>
          <w:highlight w:val="none"/>
          <w:lang w:eastAsia="zh-CN"/>
        </w:rPr>
        <w:t>应将证明材料制作成扫描件上传。</w:t>
      </w:r>
    </w:p>
    <w:p w14:paraId="412CF725">
      <w:pPr>
        <w:jc w:val="center"/>
        <w:rPr>
          <w:rFonts w:ascii="宋体" w:hAnsi="宋体" w:eastAsia="宋体" w:cs="@仿宋_GB2312"/>
          <w:bCs/>
          <w:color w:val="auto"/>
          <w:kern w:val="2"/>
          <w:sz w:val="24"/>
          <w:szCs w:val="20"/>
          <w:highlight w:val="none"/>
          <w:lang w:eastAsia="zh-CN"/>
        </w:rPr>
      </w:pPr>
      <w:r>
        <w:rPr>
          <w:rFonts w:ascii="宋体" w:hAnsi="宋体" w:eastAsia="宋体" w:cs="@仿宋_GB2312"/>
          <w:bCs/>
          <w:color w:val="auto"/>
          <w:kern w:val="2"/>
          <w:sz w:val="24"/>
          <w:szCs w:val="20"/>
          <w:highlight w:val="none"/>
          <w:lang w:eastAsia="zh-CN"/>
        </w:rPr>
        <w:br w:type="page"/>
      </w:r>
      <w:bookmarkStart w:id="205" w:name="_Toc5555"/>
      <w:bookmarkStart w:id="206" w:name="_Toc28960"/>
      <w:bookmarkStart w:id="207" w:name="_Toc6796"/>
      <w:bookmarkStart w:id="208" w:name="_Toc31991"/>
    </w:p>
    <w:p w14:paraId="06FCD40F">
      <w:pPr>
        <w:jc w:val="center"/>
        <w:rPr>
          <w:rFonts w:ascii="宋体" w:hAnsi="宋体" w:eastAsia="宋体" w:cs="@仿宋_GB2312"/>
          <w:bCs/>
          <w:color w:val="auto"/>
          <w:kern w:val="2"/>
          <w:sz w:val="24"/>
          <w:szCs w:val="20"/>
          <w:highlight w:val="none"/>
          <w:lang w:eastAsia="zh-CN"/>
        </w:rPr>
      </w:pPr>
      <w:r>
        <w:rPr>
          <w:rFonts w:hint="eastAsia" w:ascii="宋体" w:hAnsi="宋体" w:cs="宋体"/>
          <w:b/>
          <w:color w:val="auto"/>
          <w:sz w:val="28"/>
          <w:szCs w:val="28"/>
          <w:highlight w:val="none"/>
        </w:rPr>
        <w:t>二、报价部分</w:t>
      </w:r>
    </w:p>
    <w:p w14:paraId="244E27A6">
      <w:pPr>
        <w:jc w:val="center"/>
        <w:rPr>
          <w:rFonts w:hint="eastAsia" w:ascii="宋体" w:hAnsi="宋体" w:eastAsia="宋体" w:cs="@仿宋_GB2312"/>
          <w:b/>
          <w:color w:val="auto"/>
          <w:kern w:val="2"/>
          <w:sz w:val="24"/>
          <w:szCs w:val="20"/>
          <w:highlight w:val="none"/>
          <w:lang w:val="en-US" w:eastAsia="zh-CN"/>
        </w:rPr>
      </w:pPr>
    </w:p>
    <w:p w14:paraId="32108F85">
      <w:pPr>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val="en-US" w:eastAsia="zh-CN"/>
        </w:rPr>
        <w:t>1.</w:t>
      </w:r>
      <w:r>
        <w:rPr>
          <w:rFonts w:hint="eastAsia" w:ascii="宋体" w:hAnsi="宋体" w:eastAsia="宋体" w:cs="@仿宋_GB2312"/>
          <w:b/>
          <w:color w:val="auto"/>
          <w:kern w:val="2"/>
          <w:sz w:val="24"/>
          <w:szCs w:val="20"/>
          <w:highlight w:val="none"/>
          <w:lang w:eastAsia="zh-CN"/>
        </w:rPr>
        <w:t>开标一览表</w:t>
      </w:r>
      <w:bookmarkEnd w:id="205"/>
      <w:bookmarkEnd w:id="206"/>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22"/>
      </w:tblGrid>
      <w:tr w14:paraId="302B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260ED11F">
            <w:pPr>
              <w:widowControl/>
              <w:spacing w:after="0" w:line="360" w:lineRule="exact"/>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项目名称</w:t>
            </w:r>
          </w:p>
        </w:tc>
        <w:tc>
          <w:tcPr>
            <w:tcW w:w="3648" w:type="pct"/>
            <w:tcBorders>
              <w:top w:val="single" w:color="auto" w:sz="4" w:space="0"/>
              <w:bottom w:val="single" w:color="auto" w:sz="4" w:space="0"/>
              <w:right w:val="single" w:color="auto" w:sz="4" w:space="0"/>
            </w:tcBorders>
            <w:vAlign w:val="center"/>
          </w:tcPr>
          <w:p w14:paraId="65A5472C">
            <w:pPr>
              <w:spacing w:after="0" w:line="360" w:lineRule="exact"/>
              <w:jc w:val="center"/>
              <w:rPr>
                <w:rFonts w:ascii="宋体" w:hAnsi="宋体" w:eastAsia="宋体" w:cs="@仿宋_GB2312"/>
                <w:bCs/>
                <w:color w:val="auto"/>
                <w:kern w:val="2"/>
                <w:sz w:val="24"/>
                <w:szCs w:val="20"/>
                <w:highlight w:val="none"/>
                <w:u w:val="single"/>
                <w:lang w:eastAsia="zh-CN"/>
              </w:rPr>
            </w:pPr>
            <w:r>
              <w:rPr>
                <w:rFonts w:hint="eastAsia" w:ascii="宋体" w:hAnsi="宋体" w:eastAsia="宋体" w:cs="@仿宋_GB2312"/>
                <w:b/>
                <w:color w:val="auto"/>
                <w:kern w:val="2"/>
                <w:sz w:val="24"/>
                <w:szCs w:val="20"/>
                <w:highlight w:val="none"/>
                <w:lang w:eastAsia="zh-CN"/>
              </w:rPr>
              <w:t>某项目</w:t>
            </w:r>
          </w:p>
        </w:tc>
      </w:tr>
      <w:tr w14:paraId="07FE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757237C6">
            <w:pPr>
              <w:spacing w:after="0" w:line="360" w:lineRule="exact"/>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投标人全称</w:t>
            </w:r>
          </w:p>
        </w:tc>
        <w:tc>
          <w:tcPr>
            <w:tcW w:w="3648" w:type="pct"/>
            <w:tcBorders>
              <w:top w:val="nil"/>
            </w:tcBorders>
            <w:vAlign w:val="center"/>
          </w:tcPr>
          <w:p w14:paraId="4040CA41">
            <w:pPr>
              <w:spacing w:after="0" w:line="360" w:lineRule="auto"/>
              <w:jc w:val="both"/>
              <w:rPr>
                <w:rFonts w:ascii="宋体" w:hAnsi="宋体" w:eastAsia="宋体" w:cs="@仿宋_GB2312"/>
                <w:color w:val="auto"/>
                <w:kern w:val="2"/>
                <w:sz w:val="24"/>
                <w:szCs w:val="20"/>
                <w:highlight w:val="none"/>
                <w:lang w:eastAsia="zh-CN"/>
              </w:rPr>
            </w:pPr>
          </w:p>
        </w:tc>
      </w:tr>
      <w:tr w14:paraId="2865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0C2EB029">
            <w:pPr>
              <w:spacing w:after="0" w:line="360" w:lineRule="exact"/>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投标报价</w:t>
            </w:r>
          </w:p>
        </w:tc>
        <w:tc>
          <w:tcPr>
            <w:tcW w:w="3648" w:type="pct"/>
            <w:tcBorders>
              <w:top w:val="nil"/>
            </w:tcBorders>
            <w:vAlign w:val="center"/>
          </w:tcPr>
          <w:p w14:paraId="586553DA">
            <w:pPr>
              <w:keepNext w:val="0"/>
              <w:keepLines w:val="0"/>
              <w:pageBreakBefore w:val="0"/>
              <w:widowControl w:val="0"/>
              <w:kinsoku/>
              <w:wordWrap/>
              <w:overflowPunct/>
              <w:topLinePunct w:val="0"/>
              <w:autoSpaceDE/>
              <w:autoSpaceDN/>
              <w:bidi w:val="0"/>
              <w:adjustRightInd/>
              <w:snapToGrid w:val="0"/>
              <w:spacing w:after="0" w:line="360" w:lineRule="auto"/>
              <w:jc w:val="left"/>
              <w:textAlignment w:val="auto"/>
              <w:rPr>
                <w:rFonts w:hint="eastAsia" w:ascii="宋体" w:hAnsi="宋体" w:eastAsia="宋体" w:cs="宋体"/>
                <w:bCs/>
                <w:color w:val="auto"/>
                <w:kern w:val="2"/>
                <w:sz w:val="24"/>
                <w:szCs w:val="24"/>
                <w:highlight w:val="none"/>
                <w:u w:val="single"/>
                <w:lang w:eastAsia="zh-CN"/>
              </w:rPr>
            </w:pPr>
            <w:r>
              <w:rPr>
                <w:rFonts w:hint="eastAsia" w:ascii="宋体" w:hAnsi="宋体" w:eastAsia="宋体" w:cs="宋体"/>
                <w:bCs/>
                <w:color w:val="auto"/>
                <w:kern w:val="2"/>
                <w:sz w:val="24"/>
                <w:szCs w:val="24"/>
                <w:highlight w:val="none"/>
                <w:lang w:eastAsia="zh-CN"/>
              </w:rPr>
              <w:t>人民币大写：</w:t>
            </w:r>
            <w:r>
              <w:rPr>
                <w:rFonts w:hint="eastAsia" w:ascii="宋体" w:hAnsi="宋体" w:eastAsia="宋体" w:cs="宋体"/>
                <w:bCs/>
                <w:color w:val="auto"/>
                <w:kern w:val="2"/>
                <w:sz w:val="24"/>
                <w:szCs w:val="24"/>
                <w:highlight w:val="none"/>
                <w:u w:val="single"/>
                <w:lang w:eastAsia="zh-CN"/>
              </w:rPr>
              <w:t xml:space="preserve">                     </w:t>
            </w:r>
          </w:p>
          <w:p w14:paraId="3D92ED38">
            <w:pPr>
              <w:keepNext w:val="0"/>
              <w:keepLines w:val="0"/>
              <w:pageBreakBefore w:val="0"/>
              <w:widowControl w:val="0"/>
              <w:kinsoku/>
              <w:wordWrap/>
              <w:overflowPunct/>
              <w:topLinePunct w:val="0"/>
              <w:autoSpaceDE/>
              <w:autoSpaceDN/>
              <w:bidi w:val="0"/>
              <w:adjustRightInd/>
              <w:spacing w:after="0" w:line="360" w:lineRule="auto"/>
              <w:ind w:right="-670"/>
              <w:jc w:val="both"/>
              <w:textAlignment w:val="auto"/>
              <w:rPr>
                <w:rFonts w:ascii="宋体" w:hAnsi="宋体" w:eastAsia="宋体" w:cs="@仿宋_GB2312"/>
                <w:color w:val="auto"/>
                <w:kern w:val="2"/>
                <w:sz w:val="24"/>
                <w:szCs w:val="20"/>
                <w:highlight w:val="none"/>
                <w:lang w:eastAsia="zh-CN"/>
              </w:rPr>
            </w:pPr>
            <w:r>
              <w:rPr>
                <w:rFonts w:hint="eastAsia" w:ascii="宋体" w:hAnsi="宋体" w:eastAsia="宋体" w:cs="宋体"/>
                <w:bCs/>
                <w:color w:val="auto"/>
                <w:kern w:val="2"/>
                <w:sz w:val="24"/>
                <w:szCs w:val="24"/>
                <w:highlight w:val="none"/>
                <w:lang w:eastAsia="zh-CN"/>
              </w:rPr>
              <w:t>人民币小写：</w:t>
            </w:r>
            <w:r>
              <w:rPr>
                <w:rFonts w:hint="eastAsia" w:ascii="宋体" w:hAnsi="宋体" w:eastAsia="宋体" w:cs="宋体"/>
                <w:bCs/>
                <w:color w:val="auto"/>
                <w:kern w:val="2"/>
                <w:sz w:val="24"/>
                <w:szCs w:val="24"/>
                <w:highlight w:val="none"/>
                <w:u w:val="single"/>
                <w:lang w:eastAsia="zh-CN"/>
              </w:rPr>
              <w:t xml:space="preserve">                     </w:t>
            </w:r>
          </w:p>
        </w:tc>
      </w:tr>
      <w:tr w14:paraId="0670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2B76894E">
            <w:pPr>
              <w:spacing w:after="0" w:line="360" w:lineRule="auto"/>
              <w:jc w:val="center"/>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其他</w:t>
            </w:r>
          </w:p>
        </w:tc>
        <w:tc>
          <w:tcPr>
            <w:tcW w:w="3648" w:type="pct"/>
            <w:tcBorders>
              <w:top w:val="nil"/>
            </w:tcBorders>
            <w:vAlign w:val="center"/>
          </w:tcPr>
          <w:p w14:paraId="4407490D">
            <w:pPr>
              <w:spacing w:after="0" w:line="360" w:lineRule="auto"/>
              <w:jc w:val="left"/>
              <w:rPr>
                <w:rFonts w:ascii="宋体" w:hAnsi="宋体" w:eastAsia="宋体" w:cs="@仿宋_GB2312"/>
                <w:color w:val="auto"/>
                <w:kern w:val="2"/>
                <w:sz w:val="24"/>
                <w:szCs w:val="28"/>
                <w:highlight w:val="none"/>
                <w:lang w:eastAsia="zh-CN"/>
              </w:rPr>
            </w:pPr>
          </w:p>
        </w:tc>
      </w:tr>
    </w:tbl>
    <w:p w14:paraId="2A8F24B3">
      <w:pPr>
        <w:spacing w:after="0" w:line="360" w:lineRule="auto"/>
        <w:jc w:val="both"/>
        <w:rPr>
          <w:rFonts w:hint="eastAsia" w:ascii="宋体" w:hAnsi="宋体" w:eastAsia="宋体" w:cs="@仿宋_GB2312"/>
          <w:color w:val="auto"/>
          <w:kern w:val="2"/>
          <w:sz w:val="24"/>
          <w:szCs w:val="20"/>
          <w:highlight w:val="none"/>
          <w:lang w:eastAsia="zh-CN"/>
        </w:rPr>
      </w:pPr>
    </w:p>
    <w:p w14:paraId="7EB9FFB2">
      <w:pPr>
        <w:spacing w:after="0" w:line="360" w:lineRule="auto"/>
        <w:ind w:left="5280" w:leftChars="2000" w:hanging="480" w:hangingChars="2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6750D3CB">
      <w:pPr>
        <w:spacing w:after="0" w:line="360" w:lineRule="auto"/>
        <w:ind w:firstLine="5280" w:firstLineChars="22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39BF9509">
      <w:pPr>
        <w:spacing w:after="0" w:line="360" w:lineRule="auto"/>
        <w:jc w:val="center"/>
        <w:rPr>
          <w:rFonts w:ascii="宋体" w:hAnsi="宋体" w:eastAsia="宋体" w:cs="@仿宋_GB2312"/>
          <w:color w:val="auto"/>
          <w:kern w:val="2"/>
          <w:sz w:val="24"/>
          <w:szCs w:val="20"/>
          <w:highlight w:val="none"/>
          <w:lang w:eastAsia="zh-CN"/>
        </w:rPr>
      </w:pPr>
    </w:p>
    <w:p w14:paraId="2529E034">
      <w:pPr>
        <w:spacing w:after="0" w:line="360" w:lineRule="auto"/>
        <w:ind w:firstLine="360" w:firstLineChars="150"/>
        <w:jc w:val="both"/>
        <w:rPr>
          <w:rFonts w:ascii="宋体" w:hAnsi="宋体" w:eastAsia="宋体" w:cs="@仿宋_GB2312"/>
          <w:color w:val="auto"/>
          <w:kern w:val="2"/>
          <w:sz w:val="24"/>
          <w:szCs w:val="20"/>
          <w:highlight w:val="none"/>
          <w:lang w:eastAsia="zh-CN"/>
        </w:rPr>
      </w:pPr>
    </w:p>
    <w:p w14:paraId="63E668A4">
      <w:pPr>
        <w:spacing w:after="0" w:line="360" w:lineRule="auto"/>
        <w:jc w:val="both"/>
        <w:rPr>
          <w:rFonts w:hint="eastAsia"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注：</w:t>
      </w:r>
    </w:p>
    <w:p w14:paraId="0D77A33B">
      <w:pPr>
        <w:spacing w:after="0" w:line="360" w:lineRule="auto"/>
        <w:ind w:firstLine="480" w:firstLineChars="200"/>
        <w:jc w:val="both"/>
        <w:outlineLvl w:val="1"/>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1</w:t>
      </w:r>
      <w:r>
        <w:rPr>
          <w:rFonts w:hint="eastAsia" w:ascii="宋体" w:hAnsi="宋体" w:eastAsia="宋体" w:cs="@仿宋_GB2312"/>
          <w:color w:val="auto"/>
          <w:kern w:val="2"/>
          <w:sz w:val="24"/>
          <w:szCs w:val="20"/>
          <w:highlight w:val="none"/>
          <w:lang w:eastAsia="zh-CN"/>
        </w:rPr>
        <w:t>.表中投标报价作为评审及定标依据。任何有选择或有条件的投标报价，均为无效报价。</w:t>
      </w:r>
    </w:p>
    <w:p w14:paraId="11DCC4D1">
      <w:pPr>
        <w:spacing w:after="0" w:line="360" w:lineRule="auto"/>
        <w:ind w:firstLine="480" w:firstLineChars="200"/>
        <w:jc w:val="both"/>
        <w:outlineLvl w:val="1"/>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val="en-US" w:eastAsia="zh-CN"/>
        </w:rPr>
        <w:t>2</w:t>
      </w:r>
      <w:r>
        <w:rPr>
          <w:rFonts w:hint="eastAsia" w:ascii="宋体" w:hAnsi="宋体" w:eastAsia="宋体" w:cs="@仿宋_GB2312"/>
          <w:color w:val="auto"/>
          <w:kern w:val="2"/>
          <w:sz w:val="24"/>
          <w:szCs w:val="20"/>
          <w:highlight w:val="none"/>
          <w:lang w:eastAsia="zh-CN"/>
        </w:rPr>
        <w:t>.表中大写金额与小写金额不一致的，以大写金额为准。</w:t>
      </w:r>
    </w:p>
    <w:p w14:paraId="1D2F6C66">
      <w:pPr>
        <w:rPr>
          <w:rFonts w:hint="eastAsia"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br w:type="page"/>
      </w:r>
    </w:p>
    <w:p w14:paraId="0025DDCC">
      <w:pPr>
        <w:spacing w:after="0" w:line="360" w:lineRule="auto"/>
        <w:jc w:val="center"/>
        <w:outlineLvl w:val="1"/>
        <w:rPr>
          <w:rFonts w:hint="eastAsia"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val="en-US" w:eastAsia="zh-CN"/>
        </w:rPr>
        <w:t>2.</w:t>
      </w:r>
      <w:r>
        <w:rPr>
          <w:rFonts w:hint="eastAsia" w:ascii="宋体" w:hAnsi="宋体" w:eastAsia="宋体" w:cs="@仿宋_GB2312"/>
          <w:b/>
          <w:color w:val="auto"/>
          <w:kern w:val="2"/>
          <w:sz w:val="24"/>
          <w:szCs w:val="20"/>
          <w:highlight w:val="none"/>
          <w:lang w:eastAsia="zh-CN"/>
        </w:rPr>
        <w:t>投标分项报价表</w:t>
      </w:r>
      <w:bookmarkEnd w:id="207"/>
      <w:bookmarkEnd w:id="208"/>
    </w:p>
    <w:p w14:paraId="1CB78C9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Arial"/>
          <w:b/>
          <w:bCs/>
          <w:color w:val="auto"/>
          <w:kern w:val="2"/>
          <w:sz w:val="24"/>
          <w:highlight w:val="yellow"/>
          <w:lang w:val="en-US" w:eastAsia="zh-CN" w:bidi="ar-SA"/>
        </w:rPr>
      </w:pPr>
    </w:p>
    <w:p w14:paraId="0381AF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Arial"/>
          <w:b/>
          <w:bCs/>
          <w:i/>
          <w:iCs/>
          <w:color w:val="auto"/>
          <w:kern w:val="2"/>
          <w:sz w:val="24"/>
          <w:highlight w:val="none"/>
          <w:lang w:val="en-US" w:eastAsia="zh-CN" w:bidi="ar-SA"/>
        </w:rPr>
      </w:pPr>
      <w:r>
        <w:rPr>
          <w:rFonts w:hint="eastAsia" w:ascii="宋体" w:hAnsi="宋体" w:eastAsia="宋体" w:cs="Arial"/>
          <w:b/>
          <w:bCs/>
          <w:color w:val="auto"/>
          <w:kern w:val="2"/>
          <w:sz w:val="24"/>
          <w:highlight w:val="none"/>
          <w:lang w:val="en-US" w:eastAsia="zh-CN" w:bidi="ar-SA"/>
        </w:rPr>
        <w:t>服务部分</w:t>
      </w:r>
      <w:r>
        <w:rPr>
          <w:rFonts w:hint="eastAsia" w:ascii="宋体" w:hAnsi="宋体" w:eastAsia="宋体" w:cs="Arial"/>
          <w:b/>
          <w:bCs/>
          <w:i/>
          <w:iCs/>
          <w:color w:val="auto"/>
          <w:kern w:val="2"/>
          <w:sz w:val="24"/>
          <w:highlight w:val="none"/>
          <w:lang w:val="en-US" w:eastAsia="zh-CN" w:bidi="ar-SA"/>
        </w:rPr>
        <w:t>（仅供参考，投标人可自行制作格式）</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11"/>
        <w:gridCol w:w="1357"/>
        <w:gridCol w:w="1699"/>
        <w:gridCol w:w="1567"/>
      </w:tblGrid>
      <w:tr w14:paraId="7A1D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2E5D4B3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序号</w:t>
            </w:r>
          </w:p>
        </w:tc>
        <w:tc>
          <w:tcPr>
            <w:tcW w:w="1824" w:type="pct"/>
            <w:noWrap w:val="0"/>
            <w:vAlign w:val="center"/>
          </w:tcPr>
          <w:p w14:paraId="39823B5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服务内容</w:t>
            </w:r>
          </w:p>
        </w:tc>
        <w:tc>
          <w:tcPr>
            <w:tcW w:w="796" w:type="pct"/>
            <w:noWrap w:val="0"/>
            <w:vAlign w:val="center"/>
          </w:tcPr>
          <w:p w14:paraId="560B4D0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项</w:t>
            </w:r>
          </w:p>
        </w:tc>
        <w:tc>
          <w:tcPr>
            <w:tcW w:w="996" w:type="pct"/>
            <w:noWrap w:val="0"/>
            <w:vAlign w:val="center"/>
          </w:tcPr>
          <w:p w14:paraId="000EC21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单价</w:t>
            </w:r>
          </w:p>
        </w:tc>
        <w:tc>
          <w:tcPr>
            <w:tcW w:w="919" w:type="pct"/>
            <w:noWrap w:val="0"/>
            <w:vAlign w:val="center"/>
          </w:tcPr>
          <w:p w14:paraId="2B1987E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b/>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小计（元）</w:t>
            </w:r>
          </w:p>
        </w:tc>
      </w:tr>
      <w:tr w14:paraId="5E7C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14E5C2E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1</w:t>
            </w:r>
          </w:p>
        </w:tc>
        <w:tc>
          <w:tcPr>
            <w:tcW w:w="1824" w:type="pct"/>
            <w:noWrap w:val="0"/>
            <w:vAlign w:val="center"/>
          </w:tcPr>
          <w:p w14:paraId="3D7DA784">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1E2BCCA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5C270529">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4FEFB6B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735C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1DAA01B">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2</w:t>
            </w:r>
          </w:p>
        </w:tc>
        <w:tc>
          <w:tcPr>
            <w:tcW w:w="1824" w:type="pct"/>
            <w:noWrap w:val="0"/>
            <w:vAlign w:val="center"/>
          </w:tcPr>
          <w:p w14:paraId="5EA0FF9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3C779D73">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64A33D3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3044693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3BEE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FA0C94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color w:val="auto"/>
                <w:kern w:val="2"/>
                <w:sz w:val="24"/>
                <w:szCs w:val="20"/>
                <w:highlight w:val="none"/>
                <w:lang w:eastAsia="zh-CN"/>
              </w:rPr>
              <w:t>3</w:t>
            </w:r>
          </w:p>
        </w:tc>
        <w:tc>
          <w:tcPr>
            <w:tcW w:w="1824" w:type="pct"/>
            <w:noWrap w:val="0"/>
            <w:vAlign w:val="center"/>
          </w:tcPr>
          <w:p w14:paraId="3525152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01B3E98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60011679">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0B02EBB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3217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0C06DCD6">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ascii="宋体" w:hAnsi="宋体" w:eastAsia="宋体" w:cs="@仿宋_GB2312"/>
                <w:color w:val="auto"/>
                <w:kern w:val="2"/>
                <w:sz w:val="24"/>
                <w:szCs w:val="20"/>
                <w:highlight w:val="none"/>
                <w:lang w:eastAsia="zh-CN"/>
              </w:rPr>
              <w:t>…</w:t>
            </w:r>
          </w:p>
        </w:tc>
        <w:tc>
          <w:tcPr>
            <w:tcW w:w="1824" w:type="pct"/>
            <w:noWrap w:val="0"/>
            <w:vAlign w:val="center"/>
          </w:tcPr>
          <w:p w14:paraId="731443C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796" w:type="pct"/>
            <w:noWrap w:val="0"/>
            <w:vAlign w:val="center"/>
          </w:tcPr>
          <w:p w14:paraId="4731D05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96" w:type="pct"/>
            <w:noWrap w:val="0"/>
            <w:vAlign w:val="center"/>
          </w:tcPr>
          <w:p w14:paraId="32882F09">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c>
          <w:tcPr>
            <w:tcW w:w="919" w:type="pct"/>
            <w:noWrap w:val="0"/>
            <w:vAlign w:val="center"/>
          </w:tcPr>
          <w:p w14:paraId="1AD5ADA5">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r w14:paraId="267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0A9CFB7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r>
              <w:rPr>
                <w:rFonts w:hint="eastAsia" w:ascii="宋体" w:hAnsi="宋体" w:eastAsia="宋体" w:cs="@仿宋_GB2312"/>
                <w:b/>
                <w:color w:val="auto"/>
                <w:kern w:val="2"/>
                <w:sz w:val="24"/>
                <w:szCs w:val="20"/>
                <w:highlight w:val="none"/>
                <w:lang w:eastAsia="zh-CN"/>
              </w:rPr>
              <w:t>合计金额（元）</w:t>
            </w:r>
          </w:p>
        </w:tc>
        <w:tc>
          <w:tcPr>
            <w:tcW w:w="919" w:type="pct"/>
            <w:noWrap w:val="0"/>
            <w:vAlign w:val="center"/>
          </w:tcPr>
          <w:p w14:paraId="1CC7B960">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ascii="宋体" w:hAnsi="宋体" w:eastAsia="宋体" w:cs="@仿宋_GB2312"/>
                <w:color w:val="auto"/>
                <w:kern w:val="2"/>
                <w:sz w:val="24"/>
                <w:szCs w:val="20"/>
                <w:highlight w:val="none"/>
                <w:lang w:eastAsia="zh-CN"/>
              </w:rPr>
            </w:pPr>
          </w:p>
        </w:tc>
      </w:tr>
    </w:tbl>
    <w:p w14:paraId="61EA0848">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宋体" w:hAnsi="宋体" w:eastAsia="宋体"/>
          <w:color w:val="auto"/>
          <w:sz w:val="24"/>
          <w:highlight w:val="none"/>
        </w:rPr>
      </w:pPr>
    </w:p>
    <w:p w14:paraId="7057F83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Arial"/>
          <w:b/>
          <w:bCs/>
          <w:color w:val="auto"/>
          <w:kern w:val="2"/>
          <w:sz w:val="24"/>
          <w:highlight w:val="none"/>
          <w:lang w:val="en-US" w:eastAsia="zh-CN" w:bidi="ar-SA"/>
        </w:rPr>
      </w:pPr>
    </w:p>
    <w:bookmarkEnd w:id="178"/>
    <w:p w14:paraId="4B3B51AD">
      <w:pPr>
        <w:rPr>
          <w:rFonts w:hint="eastAsia" w:ascii="宋体" w:hAnsi="宋体" w:eastAsia="宋体"/>
          <w:b/>
          <w:color w:val="auto"/>
          <w:sz w:val="28"/>
          <w:highlight w:val="none"/>
        </w:rPr>
      </w:pPr>
      <w:bookmarkStart w:id="209" w:name="_Toc6435"/>
      <w:bookmarkStart w:id="210" w:name="_Toc18131"/>
      <w:r>
        <w:rPr>
          <w:rFonts w:hint="eastAsia" w:ascii="宋体" w:hAnsi="宋体" w:eastAsia="宋体"/>
          <w:b/>
          <w:color w:val="auto"/>
          <w:sz w:val="28"/>
          <w:highlight w:val="none"/>
        </w:rPr>
        <w:br w:type="page"/>
      </w:r>
    </w:p>
    <w:p w14:paraId="3686FBD3">
      <w:pPr>
        <w:numPr>
          <w:ilvl w:val="0"/>
          <w:numId w:val="0"/>
        </w:numPr>
        <w:spacing w:after="0" w:line="360" w:lineRule="auto"/>
        <w:jc w:val="center"/>
        <w:outlineLvl w:val="1"/>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ascii="宋体" w:hAnsi="宋体" w:eastAsia="宋体" w:cs="宋体"/>
          <w:b/>
          <w:bCs/>
          <w:color w:val="auto"/>
          <w:sz w:val="24"/>
          <w:szCs w:val="24"/>
        </w:rPr>
        <w:t>主要中标标的承诺函</w:t>
      </w:r>
    </w:p>
    <w:p w14:paraId="3337F94B">
      <w:pPr>
        <w:numPr>
          <w:ilvl w:val="0"/>
          <w:numId w:val="0"/>
        </w:numPr>
        <w:spacing w:after="0" w:line="360" w:lineRule="auto"/>
        <w:ind w:firstLine="480" w:firstLineChars="200"/>
        <w:jc w:val="both"/>
        <w:outlineLvl w:val="1"/>
        <w:rPr>
          <w:rFonts w:hint="eastAsia" w:ascii="宋体" w:hAnsi="宋体" w:eastAsia="宋体" w:cs="@仿宋_GB2312"/>
          <w:b/>
          <w:color w:val="auto"/>
          <w:kern w:val="2"/>
          <w:sz w:val="24"/>
          <w:szCs w:val="20"/>
          <w:highlight w:val="none"/>
          <w:lang w:val="en-US" w:eastAsia="zh-CN"/>
        </w:rPr>
      </w:pPr>
      <w:r>
        <w:rPr>
          <w:rFonts w:ascii="宋体" w:hAnsi="宋体" w:eastAsia="宋体" w:cs="宋体"/>
          <w:b w:val="0"/>
          <w:bCs w:val="0"/>
          <w:color w:val="auto"/>
          <w:sz w:val="24"/>
          <w:szCs w:val="24"/>
        </w:rPr>
        <w:t>我单位同意中标结果公告中公示以下主要中标标的信息并承诺：投标文件中所提供的主要中标标的信息均真实有效。若被发现存在任何虚假、隐瞒情况，我单位承担由此产生的一切后果。</w:t>
      </w:r>
    </w:p>
    <w:tbl>
      <w:tblPr>
        <w:tblStyle w:val="20"/>
        <w:tblW w:w="91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9"/>
      </w:tblGrid>
      <w:tr w14:paraId="48FA3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 w:hRule="atLeast"/>
          <w:jc w:val="center"/>
        </w:trPr>
        <w:tc>
          <w:tcPr>
            <w:tcW w:w="9109" w:type="dxa"/>
            <w:vAlign w:val="center"/>
          </w:tcPr>
          <w:p w14:paraId="6FF72DF8">
            <w:pPr>
              <w:widowControl/>
              <w:shd w:val="clear" w:color="auto" w:fill="FFFFFF"/>
              <w:wordWrap/>
              <w:adjustRightInd/>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服务类</w:t>
            </w:r>
          </w:p>
        </w:tc>
      </w:tr>
      <w:tr w14:paraId="4F541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66" w:hRule="atLeast"/>
          <w:jc w:val="center"/>
        </w:trPr>
        <w:tc>
          <w:tcPr>
            <w:tcW w:w="9109" w:type="dxa"/>
            <w:vAlign w:val="center"/>
          </w:tcPr>
          <w:p w14:paraId="2904CCC4">
            <w:pPr>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名称：铜陵市</w:t>
            </w:r>
            <w:r>
              <w:rPr>
                <w:rFonts w:hint="eastAsia" w:ascii="宋体" w:hAnsi="宋体" w:eastAsia="宋体" w:cs="宋体"/>
                <w:color w:val="auto"/>
                <w:sz w:val="24"/>
                <w:szCs w:val="24"/>
                <w:highlight w:val="none"/>
                <w:lang w:val="en-US" w:eastAsia="zh-CN"/>
              </w:rPr>
              <w:t>公共资源交易市场（投资大厦）物业服务</w:t>
            </w:r>
          </w:p>
          <w:p w14:paraId="34708A2D">
            <w:pPr>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服务范围：具体详见</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p>
          <w:p w14:paraId="09F11BCA">
            <w:pPr>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服务要求：根据国家及地方相关法律要求、</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文件的约定、采购人的要求以及采购合同等相关约定承担</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lang w:val="zh-CN" w:eastAsia="zh-CN"/>
              </w:rPr>
              <w:t>。</w:t>
            </w:r>
          </w:p>
          <w:p w14:paraId="28826980">
            <w:pPr>
              <w:snapToGrid w:val="0"/>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服务时间：</w:t>
            </w:r>
          </w:p>
          <w:p w14:paraId="06EC3FF9">
            <w:pPr>
              <w:snapToGrid w:val="0"/>
              <w:spacing w:line="360" w:lineRule="auto"/>
              <w:jc w:val="left"/>
              <w:rPr>
                <w:rFonts w:hint="default" w:ascii="Times New Roman" w:hAnsi="Times New Roman" w:eastAsia="宋体" w:cs="Times New Roman"/>
                <w:color w:val="auto"/>
                <w:sz w:val="24"/>
                <w:szCs w:val="24"/>
                <w:highlight w:val="none"/>
                <w:lang w:val="en-US"/>
              </w:rPr>
            </w:pPr>
            <w:r>
              <w:rPr>
                <w:rFonts w:hint="eastAsia" w:ascii="宋体" w:hAnsi="宋体" w:eastAsia="宋体" w:cs="宋体"/>
                <w:color w:val="auto"/>
                <w:sz w:val="24"/>
                <w:szCs w:val="24"/>
                <w:highlight w:val="none"/>
                <w:lang w:val="zh-CN" w:eastAsia="zh-CN"/>
              </w:rPr>
              <w:t>服务标准：</w:t>
            </w:r>
          </w:p>
        </w:tc>
      </w:tr>
    </w:tbl>
    <w:p w14:paraId="7ABB8BFD">
      <w:pPr>
        <w:spacing w:after="0" w:line="360" w:lineRule="auto"/>
        <w:ind w:firstLine="435"/>
        <w:jc w:val="center"/>
        <w:rPr>
          <w:rFonts w:hint="eastAsia" w:ascii="宋体" w:hAnsi="宋体" w:eastAsia="宋体" w:cs="@仿宋_GB2312"/>
          <w:bCs/>
          <w:color w:val="auto"/>
          <w:kern w:val="2"/>
          <w:sz w:val="24"/>
          <w:szCs w:val="28"/>
          <w:highlight w:val="none"/>
          <w:lang w:val="en-US" w:eastAsia="zh-CN"/>
        </w:rPr>
      </w:pPr>
      <w:r>
        <w:rPr>
          <w:rFonts w:hint="eastAsia" w:ascii="宋体" w:hAnsi="宋体" w:eastAsia="宋体" w:cs="@仿宋_GB2312"/>
          <w:bCs/>
          <w:color w:val="auto"/>
          <w:kern w:val="2"/>
          <w:sz w:val="24"/>
          <w:szCs w:val="28"/>
          <w:highlight w:val="none"/>
          <w:lang w:val="en-US" w:eastAsia="zh-CN"/>
        </w:rPr>
        <w:t xml:space="preserve">           </w:t>
      </w:r>
    </w:p>
    <w:p w14:paraId="62140B21">
      <w:pPr>
        <w:spacing w:after="0" w:line="360" w:lineRule="auto"/>
        <w:ind w:firstLine="435"/>
        <w:jc w:val="center"/>
        <w:rPr>
          <w:rFonts w:hint="eastAsia" w:ascii="宋体" w:hAnsi="宋体" w:eastAsia="宋体" w:cs="@仿宋_GB2312"/>
          <w:bCs/>
          <w:color w:val="auto"/>
          <w:kern w:val="2"/>
          <w:sz w:val="24"/>
          <w:szCs w:val="28"/>
          <w:highlight w:val="none"/>
          <w:lang w:val="en-US" w:eastAsia="zh-CN"/>
        </w:rPr>
      </w:pPr>
      <w:r>
        <w:rPr>
          <w:rFonts w:hint="eastAsia" w:ascii="宋体" w:hAnsi="宋体" w:eastAsia="宋体" w:cs="@仿宋_GB2312"/>
          <w:bCs/>
          <w:color w:val="auto"/>
          <w:kern w:val="2"/>
          <w:sz w:val="24"/>
          <w:szCs w:val="28"/>
          <w:highlight w:val="none"/>
          <w:lang w:val="en-US" w:eastAsia="zh-CN"/>
        </w:rPr>
        <w:t xml:space="preserve">           </w:t>
      </w:r>
    </w:p>
    <w:p w14:paraId="7EA1CBCD">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投标人签章：</w:t>
      </w:r>
      <w:r>
        <w:rPr>
          <w:rFonts w:hint="eastAsia" w:ascii="宋体" w:hAnsi="宋体" w:eastAsia="宋体" w:cs="@仿宋_GB2312"/>
          <w:color w:val="auto"/>
          <w:kern w:val="2"/>
          <w:sz w:val="24"/>
          <w:szCs w:val="20"/>
          <w:highlight w:val="none"/>
          <w:u w:val="single"/>
          <w:lang w:eastAsia="zh-CN"/>
        </w:rPr>
        <w:t xml:space="preserve">             </w:t>
      </w:r>
    </w:p>
    <w:p w14:paraId="7DC0751A">
      <w:pPr>
        <w:spacing w:after="0" w:line="360" w:lineRule="auto"/>
        <w:ind w:firstLine="4800" w:firstLineChars="2000"/>
        <w:jc w:val="both"/>
        <w:rPr>
          <w:rFonts w:ascii="宋体" w:hAnsi="宋体" w:eastAsia="宋体" w:cs="@仿宋_GB2312"/>
          <w:color w:val="auto"/>
          <w:kern w:val="2"/>
          <w:sz w:val="24"/>
          <w:szCs w:val="20"/>
          <w:highlight w:val="none"/>
          <w:u w:val="single"/>
          <w:lang w:eastAsia="zh-CN"/>
        </w:rPr>
      </w:pPr>
      <w:r>
        <w:rPr>
          <w:rFonts w:hint="eastAsia" w:ascii="宋体" w:hAnsi="宋体" w:eastAsia="宋体" w:cs="@仿宋_GB2312"/>
          <w:color w:val="auto"/>
          <w:kern w:val="2"/>
          <w:sz w:val="24"/>
          <w:szCs w:val="20"/>
          <w:highlight w:val="none"/>
          <w:lang w:eastAsia="zh-CN"/>
        </w:rPr>
        <w:t xml:space="preserve">日     </w:t>
      </w:r>
      <w:r>
        <w:rPr>
          <w:rFonts w:hint="eastAsia" w:ascii="宋体" w:hAnsi="宋体" w:eastAsia="宋体" w:cs="@仿宋_GB2312"/>
          <w:color w:val="auto"/>
          <w:kern w:val="2"/>
          <w:sz w:val="24"/>
          <w:szCs w:val="20"/>
          <w:highlight w:val="none"/>
          <w:lang w:val="en-US" w:eastAsia="zh-CN"/>
        </w:rPr>
        <w:t xml:space="preserve"> </w:t>
      </w:r>
      <w:r>
        <w:rPr>
          <w:rFonts w:hint="eastAsia" w:ascii="宋体" w:hAnsi="宋体" w:eastAsia="宋体" w:cs="@仿宋_GB2312"/>
          <w:color w:val="auto"/>
          <w:kern w:val="2"/>
          <w:sz w:val="24"/>
          <w:szCs w:val="20"/>
          <w:highlight w:val="none"/>
          <w:lang w:eastAsia="zh-CN"/>
        </w:rPr>
        <w:t>期：</w:t>
      </w:r>
      <w:r>
        <w:rPr>
          <w:rFonts w:hint="eastAsia" w:ascii="宋体" w:hAnsi="宋体" w:eastAsia="宋体" w:cs="@仿宋_GB2312"/>
          <w:color w:val="auto"/>
          <w:kern w:val="2"/>
          <w:sz w:val="24"/>
          <w:szCs w:val="20"/>
          <w:highlight w:val="none"/>
          <w:u w:val="single"/>
          <w:lang w:eastAsia="zh-CN"/>
        </w:rPr>
        <w:t xml:space="preserve">             </w:t>
      </w:r>
    </w:p>
    <w:p w14:paraId="44D58A61">
      <w:pPr>
        <w:tabs>
          <w:tab w:val="left" w:pos="4620"/>
        </w:tabs>
        <w:spacing w:line="360" w:lineRule="auto"/>
        <w:ind w:firstLine="4269" w:firstLineChars="1772"/>
        <w:rPr>
          <w:rFonts w:asciiTheme="minorEastAsia" w:hAnsiTheme="minorEastAsia" w:eastAsiaTheme="minorEastAsia"/>
          <w:color w:val="auto"/>
          <w:sz w:val="24"/>
          <w:szCs w:val="24"/>
          <w:highlight w:val="none"/>
          <w:u w:val="single"/>
        </w:rPr>
      </w:pPr>
      <w:r>
        <w:rPr>
          <w:rFonts w:hint="eastAsia" w:ascii="宋体" w:hAnsi="宋体" w:eastAsia="宋体" w:cs="@仿宋_GB2312"/>
          <w:b/>
          <w:color w:val="auto"/>
          <w:kern w:val="2"/>
          <w:sz w:val="24"/>
          <w:szCs w:val="20"/>
          <w:highlight w:val="none"/>
          <w:lang w:val="en-US" w:eastAsia="zh-CN"/>
        </w:rPr>
        <w:br w:type="page"/>
      </w:r>
    </w:p>
    <w:p w14:paraId="193598EA">
      <w:pPr>
        <w:spacing w:after="0" w:line="360" w:lineRule="auto"/>
        <w:jc w:val="center"/>
        <w:outlineLvl w:val="1"/>
        <w:rPr>
          <w:rFonts w:hint="default" w:ascii="宋体" w:hAnsi="宋体" w:eastAsia="宋体" w:cs="@仿宋_GB2312"/>
          <w:b/>
          <w:color w:val="auto"/>
          <w:kern w:val="2"/>
          <w:sz w:val="24"/>
          <w:szCs w:val="20"/>
          <w:highlight w:val="none"/>
          <w:lang w:val="en-US" w:eastAsia="zh-CN"/>
        </w:rPr>
      </w:pPr>
      <w:r>
        <w:rPr>
          <w:rFonts w:hint="eastAsia" w:ascii="宋体" w:hAnsi="宋体" w:eastAsia="宋体" w:cs="@仿宋_GB2312"/>
          <w:b/>
          <w:color w:val="auto"/>
          <w:kern w:val="2"/>
          <w:sz w:val="24"/>
          <w:szCs w:val="20"/>
          <w:highlight w:val="none"/>
          <w:lang w:val="en-US" w:eastAsia="zh-CN"/>
        </w:rPr>
        <w:t>4.报价部分需要的其他相关证明材料</w:t>
      </w:r>
    </w:p>
    <w:p w14:paraId="025E2EFD">
      <w:pPr>
        <w:widowControl/>
        <w:spacing w:after="0" w:line="240" w:lineRule="auto"/>
        <w:jc w:val="left"/>
        <w:rPr>
          <w:rFonts w:ascii="宋体" w:hAnsi="宋体" w:eastAsia="宋体" w:cs="@仿宋_GB2312"/>
          <w:color w:val="auto"/>
          <w:kern w:val="2"/>
          <w:sz w:val="24"/>
          <w:szCs w:val="20"/>
          <w:highlight w:val="none"/>
          <w:lang w:eastAsia="zh-CN"/>
        </w:rPr>
      </w:pPr>
    </w:p>
    <w:p w14:paraId="1D802138">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36080BF">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209"/>
      <w:bookmarkEnd w:id="210"/>
    </w:p>
    <w:p w14:paraId="6225DC16">
      <w:pPr>
        <w:spacing w:line="360" w:lineRule="auto"/>
        <w:jc w:val="center"/>
        <w:outlineLvl w:val="1"/>
        <w:rPr>
          <w:rFonts w:ascii="仿宋" w:hAnsi="仿宋" w:eastAsia="仿宋" w:cs="仿宋"/>
          <w:b/>
          <w:bCs/>
          <w:color w:val="auto"/>
          <w:sz w:val="32"/>
          <w:szCs w:val="44"/>
          <w:highlight w:val="none"/>
        </w:rPr>
      </w:pPr>
      <w:bookmarkStart w:id="211" w:name="_Toc27159"/>
      <w:bookmarkStart w:id="212" w:name="_Toc27489"/>
      <w:r>
        <w:rPr>
          <w:rFonts w:hint="eastAsia" w:ascii="仿宋" w:hAnsi="仿宋" w:eastAsia="仿宋" w:cs="仿宋"/>
          <w:b/>
          <w:bCs/>
          <w:color w:val="auto"/>
          <w:sz w:val="32"/>
          <w:szCs w:val="44"/>
          <w:highlight w:val="none"/>
        </w:rPr>
        <w:t>询问函范本</w:t>
      </w:r>
      <w:bookmarkEnd w:id="211"/>
      <w:bookmarkEnd w:id="212"/>
    </w:p>
    <w:p w14:paraId="7AB165D1">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7BD342E">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u w:val="single"/>
          <w:lang w:val="en-US" w:eastAsia="zh-CN"/>
        </w:rPr>
        <w:t xml:space="preserve">           </w:t>
      </w:r>
      <w:r>
        <w:rPr>
          <w:rFonts w:hint="eastAsia" w:ascii="宋体" w:hAnsi="宋体" w:eastAsia="宋体" w:cs="仿宋"/>
          <w:color w:val="auto"/>
          <w:sz w:val="24"/>
          <w:szCs w:val="24"/>
          <w:u w:val="none"/>
          <w:lang w:val="en-US" w:eastAsia="zh-CN"/>
        </w:rPr>
        <w:t>（</w:t>
      </w:r>
      <w:r>
        <w:rPr>
          <w:rFonts w:hint="eastAsia" w:ascii="宋体" w:hAnsi="宋体" w:eastAsia="宋体" w:cs="仿宋"/>
          <w:i/>
          <w:iCs/>
          <w:color w:val="auto"/>
          <w:sz w:val="24"/>
          <w:szCs w:val="24"/>
          <w:u w:val="none"/>
          <w:lang w:val="en-US" w:eastAsia="zh-CN"/>
        </w:rPr>
        <w:t>项目名称、编号</w:t>
      </w:r>
      <w:r>
        <w:rPr>
          <w:rFonts w:hint="eastAsia" w:ascii="宋体" w:hAnsi="宋体" w:eastAsia="宋体" w:cs="仿宋"/>
          <w:color w:val="auto"/>
          <w:sz w:val="24"/>
          <w:szCs w:val="24"/>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9F2FB8D">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3" w:name="_Toc13899"/>
      <w:r>
        <w:rPr>
          <w:rFonts w:hint="eastAsia" w:ascii="宋体" w:hAnsi="宋体" w:eastAsia="宋体" w:cs="仿宋"/>
          <w:color w:val="auto"/>
          <w:sz w:val="24"/>
          <w:szCs w:val="24"/>
          <w:highlight w:val="none"/>
        </w:rPr>
        <w:t>一、(事项一)</w:t>
      </w:r>
      <w:bookmarkEnd w:id="213"/>
    </w:p>
    <w:p w14:paraId="652DA8D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E2CDB7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74B1255D">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094230EB">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4" w:name="_Toc3352"/>
      <w:r>
        <w:rPr>
          <w:rFonts w:hint="eastAsia" w:ascii="宋体" w:hAnsi="宋体" w:eastAsia="宋体" w:cs="仿宋"/>
          <w:color w:val="auto"/>
          <w:sz w:val="24"/>
          <w:szCs w:val="24"/>
          <w:highlight w:val="none"/>
        </w:rPr>
        <w:t>二、(事项二)</w:t>
      </w:r>
      <w:bookmarkEnd w:id="214"/>
    </w:p>
    <w:p w14:paraId="2A24155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4B8BAB2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3287C3AE">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65686AF">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6AE54EE2">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B2F5A1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0132FD4">
      <w:pPr>
        <w:jc w:val="center"/>
        <w:outlineLvl w:val="1"/>
        <w:rPr>
          <w:rFonts w:ascii="仿宋" w:hAnsi="仿宋" w:eastAsia="仿宋" w:cs="仿宋"/>
          <w:b/>
          <w:bCs/>
          <w:color w:val="auto"/>
          <w:sz w:val="32"/>
          <w:szCs w:val="44"/>
          <w:highlight w:val="none"/>
        </w:rPr>
      </w:pPr>
      <w:bookmarkStart w:id="215" w:name="_Toc3245"/>
      <w:bookmarkStart w:id="216" w:name="_Toc1575"/>
      <w:r>
        <w:rPr>
          <w:rFonts w:hint="eastAsia" w:ascii="仿宋" w:hAnsi="仿宋" w:eastAsia="仿宋" w:cs="仿宋"/>
          <w:b/>
          <w:bCs/>
          <w:color w:val="auto"/>
          <w:sz w:val="32"/>
          <w:szCs w:val="44"/>
          <w:highlight w:val="none"/>
        </w:rPr>
        <w:t>质疑函范本</w:t>
      </w:r>
      <w:bookmarkEnd w:id="215"/>
      <w:bookmarkEnd w:id="216"/>
    </w:p>
    <w:p w14:paraId="55B48255">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7" w:name="_Toc21381"/>
      <w:r>
        <w:rPr>
          <w:rFonts w:hint="eastAsia" w:ascii="宋体" w:hAnsi="宋体" w:eastAsia="宋体" w:cs="仿宋"/>
          <w:b/>
          <w:bCs/>
          <w:color w:val="auto"/>
          <w:sz w:val="24"/>
          <w:szCs w:val="24"/>
          <w:highlight w:val="none"/>
        </w:rPr>
        <w:t>一、质疑供应商基本信息</w:t>
      </w:r>
      <w:bookmarkEnd w:id="217"/>
    </w:p>
    <w:p w14:paraId="1C6F25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681260A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471C060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73DF4B9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0EC0160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374703F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C2C0D39">
      <w:pPr>
        <w:adjustRightInd w:val="0"/>
        <w:snapToGrid w:val="0"/>
        <w:spacing w:line="360" w:lineRule="auto"/>
        <w:outlineLvl w:val="9"/>
        <w:rPr>
          <w:rFonts w:ascii="宋体" w:hAnsi="宋体" w:eastAsia="宋体" w:cs="仿宋"/>
          <w:b/>
          <w:bCs/>
          <w:color w:val="auto"/>
          <w:sz w:val="24"/>
          <w:szCs w:val="24"/>
          <w:highlight w:val="none"/>
        </w:rPr>
      </w:pPr>
      <w:bookmarkStart w:id="218" w:name="_Toc28415"/>
      <w:r>
        <w:rPr>
          <w:rFonts w:hint="eastAsia" w:ascii="宋体" w:hAnsi="宋体" w:eastAsia="宋体" w:cs="仿宋"/>
          <w:b/>
          <w:bCs/>
          <w:color w:val="auto"/>
          <w:sz w:val="24"/>
          <w:szCs w:val="24"/>
          <w:highlight w:val="none"/>
        </w:rPr>
        <w:t>二、质疑项目基本情况</w:t>
      </w:r>
      <w:bookmarkEnd w:id="218"/>
    </w:p>
    <w:p w14:paraId="79A24FD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6FCAE6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599C584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72B30E0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546FB227">
      <w:pPr>
        <w:adjustRightInd w:val="0"/>
        <w:snapToGrid w:val="0"/>
        <w:spacing w:line="360" w:lineRule="auto"/>
        <w:outlineLvl w:val="9"/>
        <w:rPr>
          <w:rFonts w:ascii="宋体" w:hAnsi="宋体" w:eastAsia="宋体" w:cs="仿宋"/>
          <w:b/>
          <w:bCs/>
          <w:color w:val="auto"/>
          <w:sz w:val="24"/>
          <w:szCs w:val="24"/>
          <w:highlight w:val="none"/>
        </w:rPr>
      </w:pPr>
      <w:bookmarkStart w:id="219" w:name="_Toc19014"/>
      <w:r>
        <w:rPr>
          <w:rFonts w:hint="eastAsia" w:ascii="宋体" w:hAnsi="宋体" w:eastAsia="宋体" w:cs="仿宋"/>
          <w:b/>
          <w:bCs/>
          <w:color w:val="auto"/>
          <w:sz w:val="24"/>
          <w:szCs w:val="24"/>
          <w:highlight w:val="none"/>
        </w:rPr>
        <w:t>三、质疑事项具体内容</w:t>
      </w:r>
      <w:bookmarkEnd w:id="219"/>
    </w:p>
    <w:p w14:paraId="5546288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51FF8C8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132D7C7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E4BFE8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0ACA4620">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57595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2CE3B3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2E2C4364">
      <w:pPr>
        <w:adjustRightInd w:val="0"/>
        <w:snapToGrid w:val="0"/>
        <w:spacing w:line="360" w:lineRule="auto"/>
        <w:outlineLvl w:val="9"/>
        <w:rPr>
          <w:rFonts w:ascii="宋体" w:hAnsi="宋体" w:eastAsia="宋体" w:cs="仿宋"/>
          <w:b/>
          <w:bCs/>
          <w:color w:val="auto"/>
          <w:sz w:val="24"/>
          <w:szCs w:val="24"/>
          <w:highlight w:val="none"/>
        </w:rPr>
      </w:pPr>
      <w:bookmarkStart w:id="220" w:name="_Toc17919"/>
      <w:r>
        <w:rPr>
          <w:rFonts w:hint="eastAsia" w:ascii="宋体" w:hAnsi="宋体" w:eastAsia="宋体" w:cs="仿宋"/>
          <w:b/>
          <w:bCs/>
          <w:color w:val="auto"/>
          <w:sz w:val="24"/>
          <w:szCs w:val="24"/>
          <w:highlight w:val="none"/>
        </w:rPr>
        <w:t>四、与质疑事项相关的质疑请求</w:t>
      </w:r>
      <w:bookmarkEnd w:id="220"/>
    </w:p>
    <w:p w14:paraId="3012086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74975CA1">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47E0268E">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9C9A3C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9FC25CB">
      <w:pPr>
        <w:outlineLvl w:val="0"/>
        <w:rPr>
          <w:rFonts w:ascii="宋体" w:hAnsi="宋体" w:eastAsia="宋体"/>
          <w:b/>
          <w:color w:val="auto"/>
          <w:sz w:val="28"/>
          <w:szCs w:val="32"/>
          <w:highlight w:val="none"/>
        </w:rPr>
      </w:pPr>
      <w:bookmarkStart w:id="221" w:name="_Toc26836"/>
      <w:bookmarkStart w:id="222" w:name="_Toc9754"/>
      <w:r>
        <w:rPr>
          <w:rFonts w:hint="eastAsia" w:ascii="宋体" w:hAnsi="宋体" w:eastAsia="宋体"/>
          <w:b/>
          <w:color w:val="auto"/>
          <w:sz w:val="28"/>
          <w:szCs w:val="32"/>
          <w:highlight w:val="none"/>
        </w:rPr>
        <w:t>质疑函制作说明：</w:t>
      </w:r>
      <w:bookmarkEnd w:id="221"/>
      <w:bookmarkEnd w:id="222"/>
    </w:p>
    <w:p w14:paraId="6A549B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B67D3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FFC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640EB5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3A63F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0B74E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10" w:h="16840"/>
      <w:pgMar w:top="1440" w:right="1800" w:bottom="1440" w:left="1800" w:header="879" w:footer="86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104BA0D-9092-4237-80F6-63362EE93C23}"/>
  </w:font>
  <w:font w:name="Arial">
    <w:panose1 w:val="020B0604020202020204"/>
    <w:charset w:val="01"/>
    <w:family w:val="swiss"/>
    <w:pitch w:val="default"/>
    <w:sig w:usb0="E0002EFF" w:usb1="C000785B" w:usb2="00000009" w:usb3="00000000" w:csb0="400001FF" w:csb1="FFFF0000"/>
    <w:embedRegular r:id="rId2" w:fontKey="{A94D5C0F-FF74-4884-AF87-EFCB6B13E090}"/>
  </w:font>
  <w:font w:name="黑体">
    <w:panose1 w:val="02010609060101010101"/>
    <w:charset w:val="86"/>
    <w:family w:val="auto"/>
    <w:pitch w:val="default"/>
    <w:sig w:usb0="800002BF" w:usb1="38CF7CFA" w:usb2="00000016" w:usb3="00000000" w:csb0="00040001" w:csb1="00000000"/>
    <w:embedRegular r:id="rId3" w:fontKey="{4C2315B3-6C2E-4ED7-8A4B-BC79E0F9B3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55D3A43-349D-4350-9A33-5F3DA356621B}"/>
  </w:font>
  <w:font w:name="仿宋_GB2312">
    <w:panose1 w:val="02010609030101010101"/>
    <w:charset w:val="86"/>
    <w:family w:val="auto"/>
    <w:pitch w:val="default"/>
    <w:sig w:usb0="00000001" w:usb1="080E0000" w:usb2="00000000" w:usb3="00000000" w:csb0="00040000" w:csb1="00000000"/>
    <w:embedRegular r:id="rId5" w:fontKey="{C70589C0-EDB1-477E-B24C-E18D04739ABB}"/>
  </w:font>
  <w:font w:name="Tahoma">
    <w:panose1 w:val="020B0604030504040204"/>
    <w:charset w:val="01"/>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6" w:fontKey="{DFBF2935-8E94-4D8B-A64B-989212960C4F}"/>
  </w:font>
  <w:font w:name="华文楷体">
    <w:altName w:val="宋体"/>
    <w:panose1 w:val="02010600040101010101"/>
    <w:charset w:val="86"/>
    <w:family w:val="auto"/>
    <w:pitch w:val="default"/>
    <w:sig w:usb0="00000000" w:usb1="00000000" w:usb2="00000016" w:usb3="00000000" w:csb0="6006009F" w:csb1="DFD70000"/>
  </w:font>
  <w:font w:name="华文中宋">
    <w:panose1 w:val="02010600040101010101"/>
    <w:charset w:val="86"/>
    <w:family w:val="auto"/>
    <w:pitch w:val="default"/>
    <w:sig w:usb0="00000287" w:usb1="080F0000" w:usb2="00000000" w:usb3="00000000" w:csb0="0004009F" w:csb1="DFD70000"/>
    <w:embedRegular r:id="rId7" w:fontKey="{CBA258DA-2488-4010-AD11-CD7872B31EC7}"/>
  </w:font>
  <w:font w:name="@仿宋_GB2312">
    <w:panose1 w:val="02010609030101010101"/>
    <w:charset w:val="86"/>
    <w:family w:val="auto"/>
    <w:pitch w:val="default"/>
    <w:sig w:usb0="00000001" w:usb1="080E0000" w:usb2="00000000" w:usb3="00000000" w:csb0="00040000" w:csb1="00000000"/>
    <w:embedRegular r:id="rId8" w:fontKey="{E7CF2A56-6481-48D4-BE26-61AB2DC3BC27}"/>
  </w:font>
  <w:font w:name="方正小标宋简体">
    <w:altName w:val="仿宋_GB2312"/>
    <w:panose1 w:val="02010601030101010101"/>
    <w:charset w:val="86"/>
    <w:family w:val="auto"/>
    <w:pitch w:val="default"/>
    <w:sig w:usb0="00000000" w:usb1="00000000" w:usb2="00000000" w:usb3="00000000" w:csb0="00040000" w:csb1="00000000"/>
    <w:embedRegular r:id="rId9" w:fontKey="{08024EDE-B6CC-44AC-B8CC-06185E8CFFE8}"/>
  </w:font>
  <w:font w:name="楷体">
    <w:panose1 w:val="02010609060101010101"/>
    <w:charset w:val="86"/>
    <w:family w:val="auto"/>
    <w:pitch w:val="default"/>
    <w:sig w:usb0="800002BF" w:usb1="38CF7CFA" w:usb2="00000016" w:usb3="00000000" w:csb0="00040001" w:csb1="00000000"/>
    <w:embedRegular r:id="rId10" w:fontKey="{E03C952D-E663-4D00-99F6-A2B17F56DF50}"/>
  </w:font>
  <w:font w:name="(使用中文字体)">
    <w:altName w:val="宋体"/>
    <w:panose1 w:val="00000000000000000000"/>
    <w:charset w:val="86"/>
    <w:family w:val="roman"/>
    <w:pitch w:val="default"/>
    <w:sig w:usb0="00000000" w:usb1="00000000" w:usb2="00000000" w:usb3="00000000" w:csb0="00040001" w:csb1="00000000"/>
    <w:embedRegular r:id="rId11" w:fontKey="{A29488C3-0CA6-4FC8-AF01-9ADFA5BE629F}"/>
  </w:font>
  <w:font w:name="楷体_GB2312">
    <w:panose1 w:val="02010609030101010101"/>
    <w:charset w:val="86"/>
    <w:family w:val="modern"/>
    <w:pitch w:val="default"/>
    <w:sig w:usb0="00000001" w:usb1="080E0000" w:usb2="00000000" w:usb3="00000000" w:csb0="00040000" w:csb1="00000000"/>
    <w:embedRegular r:id="rId12" w:fontKey="{0A71CC6B-060A-4E46-9048-79B12C5F04B0}"/>
  </w:font>
  <w:font w:name="@微软简标宋">
    <w:altName w:val="@宋体"/>
    <w:panose1 w:val="00000000000000000000"/>
    <w:charset w:val="86"/>
    <w:family w:val="auto"/>
    <w:pitch w:val="default"/>
    <w:sig w:usb0="00000000" w:usb1="00000000" w:usb2="00000010" w:usb3="00000000" w:csb0="00040000" w:csb1="00000000"/>
    <w:embedRegular r:id="rId13" w:fontKey="{468D2226-A753-4F80-8FA5-B9758868F902}"/>
  </w:font>
  <w:font w:name="@宋体">
    <w:panose1 w:val="02010600030101010101"/>
    <w:charset w:val="86"/>
    <w:family w:val="auto"/>
    <w:pitch w:val="default"/>
    <w:sig w:usb0="00000203" w:usb1="288F0000" w:usb2="00000006" w:usb3="00000000" w:csb0="00040001" w:csb1="00000000"/>
  </w:font>
  <w:font w:name="WPSEMBED2">
    <w:panose1 w:val="02010600040101010101"/>
    <w:charset w:val="86"/>
    <w:family w:val="auto"/>
    <w:pitch w:val="default"/>
    <w:sig w:usb0="00000287" w:usb1="080F0000" w:usb2="00000000" w:usb3="00000000" w:csb0="0004009F" w:csb1="DFD7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027CD">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041BF">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0041BF">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8BD7C">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0C57C">
                          <w:pPr>
                            <w:pStyle w:val="1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A0C57C">
                    <w:pPr>
                      <w:pStyle w:val="1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49E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1CC7">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C00034"/>
    <w:multiLevelType w:val="multilevel"/>
    <w:tmpl w:val="96C00034"/>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B9C391DE"/>
    <w:multiLevelType w:val="singleLevel"/>
    <w:tmpl w:val="B9C391DE"/>
    <w:lvl w:ilvl="0" w:tentative="0">
      <w:start w:val="1"/>
      <w:numFmt w:val="decimal"/>
      <w:lvlText w:val="%1."/>
      <w:lvlJc w:val="left"/>
      <w:pPr>
        <w:tabs>
          <w:tab w:val="left" w:pos="312"/>
        </w:tabs>
      </w:pPr>
      <w:rPr>
        <w:rFonts w:hint="default"/>
        <w:color w:val="000000" w:themeColor="text1"/>
        <w14:textFill>
          <w14:solidFill>
            <w14:schemeClr w14:val="tx1"/>
          </w14:solidFill>
        </w14:textFill>
      </w:rPr>
    </w:lvl>
  </w:abstractNum>
  <w:abstractNum w:abstractNumId="2">
    <w:nsid w:val="E777F2D7"/>
    <w:multiLevelType w:val="singleLevel"/>
    <w:tmpl w:val="E777F2D7"/>
    <w:lvl w:ilvl="0" w:tentative="0">
      <w:start w:val="1"/>
      <w:numFmt w:val="decimal"/>
      <w:suff w:val="nothing"/>
      <w:lvlText w:val="%1、"/>
      <w:lvlJc w:val="left"/>
    </w:lvl>
  </w:abstractNum>
  <w:abstractNum w:abstractNumId="3">
    <w:nsid w:val="3055B242"/>
    <w:multiLevelType w:val="singleLevel"/>
    <w:tmpl w:val="3055B242"/>
    <w:lvl w:ilvl="0" w:tentative="0">
      <w:start w:val="6"/>
      <w:numFmt w:val="decimal"/>
      <w:suff w:val="nothing"/>
      <w:lvlText w:val="（%1）"/>
      <w:lvlJc w:val="left"/>
    </w:lvl>
  </w:abstractNum>
  <w:abstractNum w:abstractNumId="4">
    <w:nsid w:val="6AA2DEE2"/>
    <w:multiLevelType w:val="singleLevel"/>
    <w:tmpl w:val="6AA2DEE2"/>
    <w:lvl w:ilvl="0" w:tentative="0">
      <w:start w:val="1"/>
      <w:numFmt w:val="decimal"/>
      <w:suff w:val="nothing"/>
      <w:lvlText w:val="（%1）"/>
      <w:lvlJc w:val="left"/>
    </w:lvl>
  </w:abstractNum>
  <w:abstractNum w:abstractNumId="5">
    <w:nsid w:val="7A8FF1B1"/>
    <w:multiLevelType w:val="singleLevel"/>
    <w:tmpl w:val="7A8FF1B1"/>
    <w:lvl w:ilvl="0" w:tentative="0">
      <w:start w:val="2"/>
      <w:numFmt w:val="chineseCounting"/>
      <w:suff w:val="space"/>
      <w:lvlText w:val="第%1章"/>
      <w:lvlJc w:val="left"/>
      <w:rPr>
        <w:rFonts w:hint="eastAsi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18C1"/>
    <w:rsid w:val="01067C6D"/>
    <w:rsid w:val="018F6A3E"/>
    <w:rsid w:val="01D60B10"/>
    <w:rsid w:val="02177A9F"/>
    <w:rsid w:val="0247661F"/>
    <w:rsid w:val="0250441F"/>
    <w:rsid w:val="02510197"/>
    <w:rsid w:val="026305F6"/>
    <w:rsid w:val="02702D13"/>
    <w:rsid w:val="02BE3A7E"/>
    <w:rsid w:val="02F32FFC"/>
    <w:rsid w:val="03015719"/>
    <w:rsid w:val="032D650E"/>
    <w:rsid w:val="034F13B8"/>
    <w:rsid w:val="03575C81"/>
    <w:rsid w:val="037345D0"/>
    <w:rsid w:val="0381685A"/>
    <w:rsid w:val="03DA48E8"/>
    <w:rsid w:val="04AA2172"/>
    <w:rsid w:val="04D67846"/>
    <w:rsid w:val="04DC4690"/>
    <w:rsid w:val="04EB48D3"/>
    <w:rsid w:val="056326BB"/>
    <w:rsid w:val="05A0746B"/>
    <w:rsid w:val="05EE4645"/>
    <w:rsid w:val="05EF21A1"/>
    <w:rsid w:val="05F02D95"/>
    <w:rsid w:val="064C314F"/>
    <w:rsid w:val="065A7376"/>
    <w:rsid w:val="066505A2"/>
    <w:rsid w:val="067B3A34"/>
    <w:rsid w:val="069263F5"/>
    <w:rsid w:val="069A035E"/>
    <w:rsid w:val="06B421E4"/>
    <w:rsid w:val="06B913A8"/>
    <w:rsid w:val="0730481F"/>
    <w:rsid w:val="075449B1"/>
    <w:rsid w:val="07C75183"/>
    <w:rsid w:val="07CD7318"/>
    <w:rsid w:val="08345394"/>
    <w:rsid w:val="08540166"/>
    <w:rsid w:val="087B7D1C"/>
    <w:rsid w:val="089C60B9"/>
    <w:rsid w:val="08F301FA"/>
    <w:rsid w:val="095C7B4D"/>
    <w:rsid w:val="09774987"/>
    <w:rsid w:val="09906EB4"/>
    <w:rsid w:val="09C4202F"/>
    <w:rsid w:val="09DF79CB"/>
    <w:rsid w:val="0A60541B"/>
    <w:rsid w:val="0AED2F41"/>
    <w:rsid w:val="0B2226D0"/>
    <w:rsid w:val="0B7042D9"/>
    <w:rsid w:val="0B772A1C"/>
    <w:rsid w:val="0B8D4948"/>
    <w:rsid w:val="0BA30EE0"/>
    <w:rsid w:val="0BA37CB5"/>
    <w:rsid w:val="0BBF7729"/>
    <w:rsid w:val="0BE43E2A"/>
    <w:rsid w:val="0BFA2DB1"/>
    <w:rsid w:val="0C004584"/>
    <w:rsid w:val="0C236700"/>
    <w:rsid w:val="0C6C324B"/>
    <w:rsid w:val="0CD36378"/>
    <w:rsid w:val="0CDF0C9B"/>
    <w:rsid w:val="0D70555E"/>
    <w:rsid w:val="0D9E24CF"/>
    <w:rsid w:val="0DC108C7"/>
    <w:rsid w:val="0E107158"/>
    <w:rsid w:val="0E6179B4"/>
    <w:rsid w:val="0EED1247"/>
    <w:rsid w:val="0EFF16A6"/>
    <w:rsid w:val="0FB3423F"/>
    <w:rsid w:val="0FC1695C"/>
    <w:rsid w:val="101D790A"/>
    <w:rsid w:val="106F63B8"/>
    <w:rsid w:val="1092654A"/>
    <w:rsid w:val="109F3D49"/>
    <w:rsid w:val="10AA3894"/>
    <w:rsid w:val="10C07D1C"/>
    <w:rsid w:val="115F642C"/>
    <w:rsid w:val="119F4A7B"/>
    <w:rsid w:val="11A025A1"/>
    <w:rsid w:val="11AE4CBE"/>
    <w:rsid w:val="11FC7C10"/>
    <w:rsid w:val="120F569C"/>
    <w:rsid w:val="12130FC5"/>
    <w:rsid w:val="12303925"/>
    <w:rsid w:val="124D2729"/>
    <w:rsid w:val="125A3098"/>
    <w:rsid w:val="12646B4E"/>
    <w:rsid w:val="12C0739F"/>
    <w:rsid w:val="12D60970"/>
    <w:rsid w:val="13082AF4"/>
    <w:rsid w:val="130970C4"/>
    <w:rsid w:val="1347361C"/>
    <w:rsid w:val="135049C5"/>
    <w:rsid w:val="13DA7FEC"/>
    <w:rsid w:val="13E40E6B"/>
    <w:rsid w:val="14671080"/>
    <w:rsid w:val="147D6BCA"/>
    <w:rsid w:val="148076DF"/>
    <w:rsid w:val="14AF76CB"/>
    <w:rsid w:val="14C64A14"/>
    <w:rsid w:val="150A66AF"/>
    <w:rsid w:val="15284D87"/>
    <w:rsid w:val="15C42D02"/>
    <w:rsid w:val="16135A37"/>
    <w:rsid w:val="16A16F94"/>
    <w:rsid w:val="16EF16B8"/>
    <w:rsid w:val="16F13FCB"/>
    <w:rsid w:val="16F45869"/>
    <w:rsid w:val="173619DD"/>
    <w:rsid w:val="174340FA"/>
    <w:rsid w:val="17554377"/>
    <w:rsid w:val="17BB0135"/>
    <w:rsid w:val="18226406"/>
    <w:rsid w:val="18700F1F"/>
    <w:rsid w:val="1885146D"/>
    <w:rsid w:val="18910E95"/>
    <w:rsid w:val="18972950"/>
    <w:rsid w:val="18A4506D"/>
    <w:rsid w:val="192C6C6F"/>
    <w:rsid w:val="19357C9E"/>
    <w:rsid w:val="19A30E80"/>
    <w:rsid w:val="19B65058"/>
    <w:rsid w:val="19D802FD"/>
    <w:rsid w:val="1A493DF5"/>
    <w:rsid w:val="1A4D3C17"/>
    <w:rsid w:val="1B1F54BA"/>
    <w:rsid w:val="1B1F6C2C"/>
    <w:rsid w:val="1B6641F2"/>
    <w:rsid w:val="1BCF41AF"/>
    <w:rsid w:val="1BE85270"/>
    <w:rsid w:val="1C024584"/>
    <w:rsid w:val="1C3404B6"/>
    <w:rsid w:val="1C4A7CD9"/>
    <w:rsid w:val="1C512E16"/>
    <w:rsid w:val="1C5D7A0C"/>
    <w:rsid w:val="1C5E5533"/>
    <w:rsid w:val="1CAE7580"/>
    <w:rsid w:val="1CBB77AB"/>
    <w:rsid w:val="1CBD66FD"/>
    <w:rsid w:val="1CF001B8"/>
    <w:rsid w:val="1CFF2872"/>
    <w:rsid w:val="1DB93368"/>
    <w:rsid w:val="1DE026A3"/>
    <w:rsid w:val="1DEC5181"/>
    <w:rsid w:val="1DFB74DD"/>
    <w:rsid w:val="1E0155BD"/>
    <w:rsid w:val="1E29229C"/>
    <w:rsid w:val="1E332105"/>
    <w:rsid w:val="1E892D3B"/>
    <w:rsid w:val="1E91399D"/>
    <w:rsid w:val="1ED57D2E"/>
    <w:rsid w:val="1F0625DD"/>
    <w:rsid w:val="1F3802BD"/>
    <w:rsid w:val="1F3D5C46"/>
    <w:rsid w:val="1F881244"/>
    <w:rsid w:val="1FB82A27"/>
    <w:rsid w:val="1FBA0B75"/>
    <w:rsid w:val="1FC7163D"/>
    <w:rsid w:val="2027280B"/>
    <w:rsid w:val="205E25EB"/>
    <w:rsid w:val="20947775"/>
    <w:rsid w:val="20A7394C"/>
    <w:rsid w:val="20BB01AD"/>
    <w:rsid w:val="21076199"/>
    <w:rsid w:val="216E446A"/>
    <w:rsid w:val="217456BC"/>
    <w:rsid w:val="21D97B35"/>
    <w:rsid w:val="21E10AB7"/>
    <w:rsid w:val="21E46DB4"/>
    <w:rsid w:val="221F7512"/>
    <w:rsid w:val="22716C55"/>
    <w:rsid w:val="228A52D3"/>
    <w:rsid w:val="22C02F7D"/>
    <w:rsid w:val="22C75BE0"/>
    <w:rsid w:val="233B1031"/>
    <w:rsid w:val="23444CD5"/>
    <w:rsid w:val="23AE4FF1"/>
    <w:rsid w:val="23BE6558"/>
    <w:rsid w:val="23C40371"/>
    <w:rsid w:val="24613E12"/>
    <w:rsid w:val="24840D4C"/>
    <w:rsid w:val="24D10F97"/>
    <w:rsid w:val="25021151"/>
    <w:rsid w:val="25032C5C"/>
    <w:rsid w:val="25924832"/>
    <w:rsid w:val="25A95A70"/>
    <w:rsid w:val="260F621B"/>
    <w:rsid w:val="26154EB4"/>
    <w:rsid w:val="267A4213"/>
    <w:rsid w:val="270B7D38"/>
    <w:rsid w:val="27127645"/>
    <w:rsid w:val="274664F8"/>
    <w:rsid w:val="27DA63B5"/>
    <w:rsid w:val="285D2B42"/>
    <w:rsid w:val="290A4A78"/>
    <w:rsid w:val="29275BE8"/>
    <w:rsid w:val="293146FB"/>
    <w:rsid w:val="293E2974"/>
    <w:rsid w:val="29AE7AF9"/>
    <w:rsid w:val="2A771E68"/>
    <w:rsid w:val="2A7C3754"/>
    <w:rsid w:val="2A9515A1"/>
    <w:rsid w:val="2B560404"/>
    <w:rsid w:val="2B6E3DAB"/>
    <w:rsid w:val="2C666469"/>
    <w:rsid w:val="2C862667"/>
    <w:rsid w:val="2CA86A82"/>
    <w:rsid w:val="2CBC42DB"/>
    <w:rsid w:val="2D6230D5"/>
    <w:rsid w:val="2DA01E4F"/>
    <w:rsid w:val="2DD6761F"/>
    <w:rsid w:val="2E24482E"/>
    <w:rsid w:val="2E7330BF"/>
    <w:rsid w:val="2E7B3D22"/>
    <w:rsid w:val="2EBF00B3"/>
    <w:rsid w:val="304545E8"/>
    <w:rsid w:val="308C13FD"/>
    <w:rsid w:val="31D9592F"/>
    <w:rsid w:val="31E57E30"/>
    <w:rsid w:val="32216F25"/>
    <w:rsid w:val="327F2033"/>
    <w:rsid w:val="32971227"/>
    <w:rsid w:val="32FF1AA9"/>
    <w:rsid w:val="33205D96"/>
    <w:rsid w:val="335C642B"/>
    <w:rsid w:val="33A046E3"/>
    <w:rsid w:val="33AE06F6"/>
    <w:rsid w:val="33BC2E13"/>
    <w:rsid w:val="33CF6FEA"/>
    <w:rsid w:val="33F418C9"/>
    <w:rsid w:val="34514642"/>
    <w:rsid w:val="34B85C0B"/>
    <w:rsid w:val="355862C2"/>
    <w:rsid w:val="356D6ABA"/>
    <w:rsid w:val="359978AF"/>
    <w:rsid w:val="35C54DDF"/>
    <w:rsid w:val="36FD3E6E"/>
    <w:rsid w:val="3720190B"/>
    <w:rsid w:val="375776B2"/>
    <w:rsid w:val="377203B8"/>
    <w:rsid w:val="37EB1F18"/>
    <w:rsid w:val="38E5105E"/>
    <w:rsid w:val="38F848ED"/>
    <w:rsid w:val="3925145A"/>
    <w:rsid w:val="39E44E71"/>
    <w:rsid w:val="3AC27689"/>
    <w:rsid w:val="3ACE5C2D"/>
    <w:rsid w:val="3AF85078"/>
    <w:rsid w:val="3B05075C"/>
    <w:rsid w:val="3B561D9F"/>
    <w:rsid w:val="3C754D2D"/>
    <w:rsid w:val="3CD25455"/>
    <w:rsid w:val="3D4470EC"/>
    <w:rsid w:val="3D4D256C"/>
    <w:rsid w:val="3D6267D9"/>
    <w:rsid w:val="3D6C781E"/>
    <w:rsid w:val="3E131759"/>
    <w:rsid w:val="3ED354A0"/>
    <w:rsid w:val="3EF23B8C"/>
    <w:rsid w:val="3F620D12"/>
    <w:rsid w:val="3F931B7B"/>
    <w:rsid w:val="3FBA6DA0"/>
    <w:rsid w:val="3FE67B95"/>
    <w:rsid w:val="3FE9792F"/>
    <w:rsid w:val="3FFB2F15"/>
    <w:rsid w:val="400D5097"/>
    <w:rsid w:val="40763401"/>
    <w:rsid w:val="407D1B7C"/>
    <w:rsid w:val="40A13ABC"/>
    <w:rsid w:val="40DC2D46"/>
    <w:rsid w:val="40EA5463"/>
    <w:rsid w:val="40F748F3"/>
    <w:rsid w:val="410D2F00"/>
    <w:rsid w:val="41466412"/>
    <w:rsid w:val="414C7ECC"/>
    <w:rsid w:val="415A3DC2"/>
    <w:rsid w:val="4171530A"/>
    <w:rsid w:val="4179797E"/>
    <w:rsid w:val="41AE4707"/>
    <w:rsid w:val="424E1A22"/>
    <w:rsid w:val="426923B8"/>
    <w:rsid w:val="42870A90"/>
    <w:rsid w:val="42F8373B"/>
    <w:rsid w:val="43086074"/>
    <w:rsid w:val="431542ED"/>
    <w:rsid w:val="433272A7"/>
    <w:rsid w:val="438C777A"/>
    <w:rsid w:val="446E63AB"/>
    <w:rsid w:val="44B92A3B"/>
    <w:rsid w:val="44EE6D9B"/>
    <w:rsid w:val="44F44EE4"/>
    <w:rsid w:val="44F52628"/>
    <w:rsid w:val="450F25B1"/>
    <w:rsid w:val="453C2B05"/>
    <w:rsid w:val="45BB1CFC"/>
    <w:rsid w:val="46712183"/>
    <w:rsid w:val="469F45FA"/>
    <w:rsid w:val="46A33519"/>
    <w:rsid w:val="46BF2EEE"/>
    <w:rsid w:val="474927B8"/>
    <w:rsid w:val="47D7007C"/>
    <w:rsid w:val="47E349BA"/>
    <w:rsid w:val="48457423"/>
    <w:rsid w:val="4860425D"/>
    <w:rsid w:val="48671147"/>
    <w:rsid w:val="488937B4"/>
    <w:rsid w:val="48D8172B"/>
    <w:rsid w:val="48DF1625"/>
    <w:rsid w:val="490F4033"/>
    <w:rsid w:val="492E7EB7"/>
    <w:rsid w:val="4937272B"/>
    <w:rsid w:val="497E0E3E"/>
    <w:rsid w:val="49B34D68"/>
    <w:rsid w:val="49C01457"/>
    <w:rsid w:val="4A3E61D7"/>
    <w:rsid w:val="4A577787"/>
    <w:rsid w:val="4A5E657A"/>
    <w:rsid w:val="4A920B21"/>
    <w:rsid w:val="4B0B4954"/>
    <w:rsid w:val="4B4C0AC8"/>
    <w:rsid w:val="4B7A37FA"/>
    <w:rsid w:val="4C261319"/>
    <w:rsid w:val="4C754D7D"/>
    <w:rsid w:val="4C8A18A8"/>
    <w:rsid w:val="4CBB4158"/>
    <w:rsid w:val="4CBD37EE"/>
    <w:rsid w:val="4CFC179A"/>
    <w:rsid w:val="4D8072CA"/>
    <w:rsid w:val="4E3C4E24"/>
    <w:rsid w:val="4E593C28"/>
    <w:rsid w:val="4E676345"/>
    <w:rsid w:val="4EE107B3"/>
    <w:rsid w:val="4EE259CC"/>
    <w:rsid w:val="4EF676C9"/>
    <w:rsid w:val="4F5D5052"/>
    <w:rsid w:val="4F6C0FF6"/>
    <w:rsid w:val="4F9547EC"/>
    <w:rsid w:val="4FB530E0"/>
    <w:rsid w:val="4FE63299"/>
    <w:rsid w:val="4FFD2D07"/>
    <w:rsid w:val="50250266"/>
    <w:rsid w:val="5032028D"/>
    <w:rsid w:val="50632584"/>
    <w:rsid w:val="507C775A"/>
    <w:rsid w:val="509A7C5E"/>
    <w:rsid w:val="50CF5251"/>
    <w:rsid w:val="50D41344"/>
    <w:rsid w:val="5116195C"/>
    <w:rsid w:val="51360251"/>
    <w:rsid w:val="519920BA"/>
    <w:rsid w:val="51C23892"/>
    <w:rsid w:val="52036385"/>
    <w:rsid w:val="525F067B"/>
    <w:rsid w:val="526E0329"/>
    <w:rsid w:val="52DC6673"/>
    <w:rsid w:val="53424C8B"/>
    <w:rsid w:val="539308FE"/>
    <w:rsid w:val="54172411"/>
    <w:rsid w:val="545D5AF4"/>
    <w:rsid w:val="5461527E"/>
    <w:rsid w:val="54705828"/>
    <w:rsid w:val="547C020E"/>
    <w:rsid w:val="54C1788A"/>
    <w:rsid w:val="54C6369A"/>
    <w:rsid w:val="551C150B"/>
    <w:rsid w:val="556E7FB9"/>
    <w:rsid w:val="55E262B1"/>
    <w:rsid w:val="56356EF1"/>
    <w:rsid w:val="56625644"/>
    <w:rsid w:val="56903F5F"/>
    <w:rsid w:val="56AB0D99"/>
    <w:rsid w:val="56C854A7"/>
    <w:rsid w:val="57192DF4"/>
    <w:rsid w:val="5728181B"/>
    <w:rsid w:val="57710EBA"/>
    <w:rsid w:val="5789732C"/>
    <w:rsid w:val="57925B2F"/>
    <w:rsid w:val="57C9597B"/>
    <w:rsid w:val="57DA5A35"/>
    <w:rsid w:val="57DB2FE5"/>
    <w:rsid w:val="581B5AAA"/>
    <w:rsid w:val="592F3F03"/>
    <w:rsid w:val="59441031"/>
    <w:rsid w:val="59B83EF9"/>
    <w:rsid w:val="59E44CEE"/>
    <w:rsid w:val="59F1740B"/>
    <w:rsid w:val="5A511C57"/>
    <w:rsid w:val="5A632532"/>
    <w:rsid w:val="5A745E11"/>
    <w:rsid w:val="5A797C42"/>
    <w:rsid w:val="5A9E1E62"/>
    <w:rsid w:val="5AC21C98"/>
    <w:rsid w:val="5B85605C"/>
    <w:rsid w:val="5BB71F8E"/>
    <w:rsid w:val="5BDB7A2A"/>
    <w:rsid w:val="5C2F421A"/>
    <w:rsid w:val="5C3514C9"/>
    <w:rsid w:val="5C594DF3"/>
    <w:rsid w:val="5C677510"/>
    <w:rsid w:val="5C7E7FB4"/>
    <w:rsid w:val="5CB36BF9"/>
    <w:rsid w:val="5D551A5E"/>
    <w:rsid w:val="5DA402F0"/>
    <w:rsid w:val="5DC83F31"/>
    <w:rsid w:val="5E0314BA"/>
    <w:rsid w:val="5E533B1A"/>
    <w:rsid w:val="5E8C5954"/>
    <w:rsid w:val="5EB64C0F"/>
    <w:rsid w:val="5F8E3006"/>
    <w:rsid w:val="5FCF5AF8"/>
    <w:rsid w:val="5FD650D9"/>
    <w:rsid w:val="600E4BCD"/>
    <w:rsid w:val="60BF5B6D"/>
    <w:rsid w:val="60C40EC2"/>
    <w:rsid w:val="60EA6962"/>
    <w:rsid w:val="61812E22"/>
    <w:rsid w:val="619F599E"/>
    <w:rsid w:val="61C471B3"/>
    <w:rsid w:val="61EF4230"/>
    <w:rsid w:val="61FC694D"/>
    <w:rsid w:val="621C0B21"/>
    <w:rsid w:val="62293553"/>
    <w:rsid w:val="62CC27C3"/>
    <w:rsid w:val="62D34B4D"/>
    <w:rsid w:val="632C5010"/>
    <w:rsid w:val="636E387A"/>
    <w:rsid w:val="640D4E41"/>
    <w:rsid w:val="641461CF"/>
    <w:rsid w:val="64281C7B"/>
    <w:rsid w:val="64326656"/>
    <w:rsid w:val="645A5BAC"/>
    <w:rsid w:val="647C1FC7"/>
    <w:rsid w:val="64820E66"/>
    <w:rsid w:val="64FB738F"/>
    <w:rsid w:val="65071890"/>
    <w:rsid w:val="6540151C"/>
    <w:rsid w:val="6558033E"/>
    <w:rsid w:val="656255CF"/>
    <w:rsid w:val="65F64108"/>
    <w:rsid w:val="660D2ED6"/>
    <w:rsid w:val="661327FD"/>
    <w:rsid w:val="662B5A52"/>
    <w:rsid w:val="6646288C"/>
    <w:rsid w:val="66FF158D"/>
    <w:rsid w:val="6784366C"/>
    <w:rsid w:val="67987E26"/>
    <w:rsid w:val="67B81568"/>
    <w:rsid w:val="67B834F8"/>
    <w:rsid w:val="67C82A55"/>
    <w:rsid w:val="67DF08A2"/>
    <w:rsid w:val="68721717"/>
    <w:rsid w:val="68936462"/>
    <w:rsid w:val="689E69AF"/>
    <w:rsid w:val="6983363C"/>
    <w:rsid w:val="6A1011E7"/>
    <w:rsid w:val="6A1265F0"/>
    <w:rsid w:val="6A222CC8"/>
    <w:rsid w:val="6A2238BB"/>
    <w:rsid w:val="6A5A380F"/>
    <w:rsid w:val="6A5B30B5"/>
    <w:rsid w:val="6AC326FD"/>
    <w:rsid w:val="6B403D4E"/>
    <w:rsid w:val="6B8117F0"/>
    <w:rsid w:val="6BC04E8F"/>
    <w:rsid w:val="6BCE3108"/>
    <w:rsid w:val="6C3513D9"/>
    <w:rsid w:val="6C5D448C"/>
    <w:rsid w:val="6C77554D"/>
    <w:rsid w:val="6CBC2A1B"/>
    <w:rsid w:val="6D0B038C"/>
    <w:rsid w:val="6D3E42BD"/>
    <w:rsid w:val="6DCF0A71"/>
    <w:rsid w:val="6DD16EDF"/>
    <w:rsid w:val="6E3B25AB"/>
    <w:rsid w:val="6E6E6F6F"/>
    <w:rsid w:val="6E7004A6"/>
    <w:rsid w:val="6EE36ECA"/>
    <w:rsid w:val="6F6F69B0"/>
    <w:rsid w:val="6FAD1286"/>
    <w:rsid w:val="6FD20CED"/>
    <w:rsid w:val="6FDE3B35"/>
    <w:rsid w:val="703B4AE4"/>
    <w:rsid w:val="70671D7D"/>
    <w:rsid w:val="70E94540"/>
    <w:rsid w:val="71162945"/>
    <w:rsid w:val="716D6F1F"/>
    <w:rsid w:val="718801FD"/>
    <w:rsid w:val="722C25EB"/>
    <w:rsid w:val="72A93F87"/>
    <w:rsid w:val="72C74933"/>
    <w:rsid w:val="72D1187F"/>
    <w:rsid w:val="72ED672C"/>
    <w:rsid w:val="731E32F7"/>
    <w:rsid w:val="7327134F"/>
    <w:rsid w:val="73EF4563"/>
    <w:rsid w:val="742C5D11"/>
    <w:rsid w:val="74463A57"/>
    <w:rsid w:val="7467234B"/>
    <w:rsid w:val="749D3FBF"/>
    <w:rsid w:val="74A964C0"/>
    <w:rsid w:val="74E63D6A"/>
    <w:rsid w:val="75564CDF"/>
    <w:rsid w:val="759948AF"/>
    <w:rsid w:val="75C4732A"/>
    <w:rsid w:val="75CA7D9B"/>
    <w:rsid w:val="75D94B83"/>
    <w:rsid w:val="75E308CD"/>
    <w:rsid w:val="75FB1DE0"/>
    <w:rsid w:val="7671125F"/>
    <w:rsid w:val="76A722AC"/>
    <w:rsid w:val="76B13D52"/>
    <w:rsid w:val="76B3017A"/>
    <w:rsid w:val="776112D4"/>
    <w:rsid w:val="780F5216"/>
    <w:rsid w:val="782A5B6A"/>
    <w:rsid w:val="783764D9"/>
    <w:rsid w:val="784F737E"/>
    <w:rsid w:val="785D5F3F"/>
    <w:rsid w:val="78A551F0"/>
    <w:rsid w:val="78DE0702"/>
    <w:rsid w:val="79F223A1"/>
    <w:rsid w:val="7A9674E6"/>
    <w:rsid w:val="7AF1471D"/>
    <w:rsid w:val="7B4B6523"/>
    <w:rsid w:val="7B544F4C"/>
    <w:rsid w:val="7B756B46"/>
    <w:rsid w:val="7BD57E9B"/>
    <w:rsid w:val="7CED7E3A"/>
    <w:rsid w:val="7D16490F"/>
    <w:rsid w:val="7D2A2168"/>
    <w:rsid w:val="7D384885"/>
    <w:rsid w:val="7D3C29A3"/>
    <w:rsid w:val="7D420907"/>
    <w:rsid w:val="7D645263"/>
    <w:rsid w:val="7D6F16F7"/>
    <w:rsid w:val="7E266DD3"/>
    <w:rsid w:val="7E307C52"/>
    <w:rsid w:val="7E5E320D"/>
    <w:rsid w:val="7E665422"/>
    <w:rsid w:val="7EA1645A"/>
    <w:rsid w:val="7FA53D28"/>
    <w:rsid w:val="7FB768E5"/>
    <w:rsid w:val="7FC94AAA"/>
    <w:rsid w:val="7FD05249"/>
    <w:rsid w:val="7FDE1E4E"/>
    <w:rsid w:val="7FF12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pPr>
    <w:rPr>
      <w:rFonts w:ascii="Calibri" w:hAnsi="Calibri" w:eastAsia="Calibri" w:cs="宋体"/>
      <w:sz w:val="24"/>
      <w:szCs w:val="24"/>
      <w:lang w:val="en-US" w:eastAsia="en-US" w:bidi="ar-SA"/>
    </w:rPr>
  </w:style>
  <w:style w:type="paragraph" w:styleId="3">
    <w:name w:val="heading 1"/>
    <w:basedOn w:val="1"/>
    <w:next w:val="1"/>
    <w:qFormat/>
    <w:uiPriority w:val="0"/>
    <w:pPr>
      <w:outlineLvl w:val="1"/>
    </w:pPr>
    <w:rPr>
      <w:rFonts w:ascii="宋体" w:hAnsi="宋体" w:eastAsia="宋体"/>
      <w:sz w:val="36"/>
      <w:szCs w:val="36"/>
    </w:rPr>
  </w:style>
  <w:style w:type="paragraph" w:styleId="4">
    <w:name w:val="heading 2"/>
    <w:basedOn w:val="1"/>
    <w:next w:val="1"/>
    <w:qFormat/>
    <w:uiPriority w:val="0"/>
    <w:pPr>
      <w:ind w:left="121"/>
      <w:outlineLvl w:val="2"/>
    </w:pPr>
    <w:rPr>
      <w:rFonts w:ascii="宋体" w:hAnsi="宋体" w:eastAsia="宋体"/>
      <w:sz w:val="32"/>
      <w:szCs w:val="32"/>
    </w:rPr>
  </w:style>
  <w:style w:type="paragraph" w:styleId="5">
    <w:name w:val="heading 3"/>
    <w:basedOn w:val="1"/>
    <w:next w:val="1"/>
    <w:qFormat/>
    <w:uiPriority w:val="0"/>
    <w:pPr>
      <w:outlineLvl w:val="3"/>
    </w:pPr>
    <w:rPr>
      <w:rFonts w:ascii="宋体" w:hAnsi="宋体" w:eastAsia="宋体"/>
      <w:sz w:val="28"/>
      <w:szCs w:val="28"/>
    </w:rPr>
  </w:style>
  <w:style w:type="paragraph" w:styleId="6">
    <w:name w:val="heading 4"/>
    <w:basedOn w:val="1"/>
    <w:next w:val="1"/>
    <w:qFormat/>
    <w:uiPriority w:val="0"/>
    <w:pPr>
      <w:spacing w:before="14"/>
      <w:ind w:left="208"/>
      <w:outlineLvl w:val="4"/>
    </w:pPr>
    <w:rPr>
      <w:rFonts w:ascii="宋体" w:hAnsi="宋体" w:eastAsia="宋体"/>
      <w:i/>
      <w:sz w:val="25"/>
      <w:szCs w:val="25"/>
    </w:rPr>
  </w:style>
  <w:style w:type="character" w:default="1" w:styleId="22">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26"/>
      <w:ind w:left="121"/>
    </w:pPr>
    <w:rPr>
      <w:rFonts w:ascii="宋体" w:hAnsi="宋体" w:eastAsia="宋体"/>
      <w:sz w:val="24"/>
      <w:szCs w:val="24"/>
    </w:rPr>
  </w:style>
  <w:style w:type="paragraph" w:styleId="7">
    <w:name w:val="annotation text"/>
    <w:basedOn w:val="1"/>
    <w:qFormat/>
    <w:uiPriority w:val="0"/>
    <w:pPr>
      <w:jc w:val="left"/>
    </w:pPr>
    <w:rPr>
      <w:rFonts w:ascii="Arial" w:hAnsi="Arial" w:eastAsia="黑体" w:cs="Arial"/>
      <w:szCs w:val="20"/>
    </w:rPr>
  </w:style>
  <w:style w:type="paragraph" w:styleId="8">
    <w:name w:val="toc 3"/>
    <w:basedOn w:val="1"/>
    <w:next w:val="1"/>
    <w:qFormat/>
    <w:uiPriority w:val="0"/>
    <w:pPr>
      <w:ind w:left="840" w:leftChars="400"/>
    </w:pPr>
  </w:style>
  <w:style w:type="paragraph" w:styleId="9">
    <w:name w:val="Plain Text"/>
    <w:basedOn w:val="1"/>
    <w:qFormat/>
    <w:uiPriority w:val="99"/>
    <w:rPr>
      <w:rFonts w:ascii="宋体" w:hAnsi="Courier New" w:eastAsiaTheme="minorEastAsia" w:cstheme="minorBidi"/>
      <w:szCs w:val="22"/>
    </w:rPr>
  </w:style>
  <w:style w:type="paragraph" w:styleId="10">
    <w:name w:val="Date"/>
    <w:basedOn w:val="1"/>
    <w:next w:val="1"/>
    <w:qFormat/>
    <w:uiPriority w:val="0"/>
    <w:rPr>
      <w:rFonts w:ascii="Arial" w:hAnsi="Arial" w:eastAsia="宋体" w:cs="Arial"/>
      <w:b/>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pPr>
      <w:spacing w:before="136"/>
    </w:pPr>
    <w:rPr>
      <w:rFonts w:ascii="宋体" w:hAnsi="宋体" w:eastAsia="宋体"/>
      <w:sz w:val="24"/>
      <w:szCs w:val="24"/>
    </w:rPr>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pPr>
      <w:jc w:val="center"/>
    </w:pPr>
    <w:rPr>
      <w:rFonts w:ascii="Arial" w:hAnsi="Arial" w:eastAsia="Arial" w:cs="Arial"/>
      <w:b/>
      <w:bCs/>
      <w:sz w:val="28"/>
    </w:rPr>
  </w:style>
  <w:style w:type="paragraph" w:styleId="18">
    <w:name w:val="Title"/>
    <w:basedOn w:val="1"/>
    <w:qFormat/>
    <w:uiPriority w:val="0"/>
    <w:pPr>
      <w:widowControl/>
      <w:overflowPunct w:val="0"/>
      <w:autoSpaceDE w:val="0"/>
      <w:autoSpaceDN w:val="0"/>
      <w:jc w:val="center"/>
      <w:textAlignment w:val="baseline"/>
    </w:pPr>
    <w:rPr>
      <w:b/>
      <w:sz w:val="24"/>
    </w:rPr>
  </w:style>
  <w:style w:type="paragraph" w:styleId="19">
    <w:name w:val="Body Text First Indent"/>
    <w:unhideWhenUsed/>
    <w:qFormat/>
    <w:uiPriority w:val="99"/>
    <w:pPr>
      <w:widowControl w:val="0"/>
      <w:spacing w:before="26" w:after="0" w:line="240" w:lineRule="auto"/>
      <w:ind w:left="121" w:firstLine="420" w:firstLineChars="100"/>
    </w:pPr>
    <w:rPr>
      <w:rFonts w:ascii="宋体" w:hAnsi="宋体" w:eastAsia="宋体" w:cs="宋体"/>
      <w:sz w:val="24"/>
      <w:szCs w:val="24"/>
      <w:lang w:val="en-US" w:eastAsia="en-US" w:bidi="ar-SA"/>
    </w:rPr>
  </w:style>
  <w:style w:type="table" w:styleId="21">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FollowedHyperlink"/>
    <w:basedOn w:val="22"/>
    <w:qFormat/>
    <w:uiPriority w:val="0"/>
    <w:rPr>
      <w:color w:val="333333"/>
      <w:u w:val="none"/>
    </w:rPr>
  </w:style>
  <w:style w:type="character" w:styleId="25">
    <w:name w:val="Emphasis"/>
    <w:basedOn w:val="22"/>
    <w:qFormat/>
    <w:uiPriority w:val="0"/>
    <w:rPr>
      <w:i/>
    </w:rPr>
  </w:style>
  <w:style w:type="character" w:styleId="26">
    <w:name w:val="Hyperlink"/>
    <w:basedOn w:val="22"/>
    <w:qFormat/>
    <w:uiPriority w:val="0"/>
    <w:rPr>
      <w:color w:val="333333"/>
      <w:u w:val="none"/>
    </w:rPr>
  </w:style>
  <w:style w:type="character" w:styleId="27">
    <w:name w:val="footnote reference"/>
    <w:qFormat/>
    <w:uiPriority w:val="0"/>
    <w:rPr>
      <w:vertAlign w:val="superscript"/>
    </w:rPr>
  </w:style>
  <w:style w:type="paragraph" w:customStyle="1" w:styleId="28">
    <w:name w:val="HTML Address"/>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29">
    <w:name w:val="Normal (Web)"/>
    <w:basedOn w:val="1"/>
    <w:next w:val="30"/>
    <w:qFormat/>
    <w:uiPriority w:val="0"/>
    <w:pPr>
      <w:spacing w:before="0" w:beforeAutospacing="1" w:after="0" w:afterAutospacing="1"/>
      <w:ind w:left="0" w:right="0"/>
      <w:jc w:val="left"/>
    </w:pPr>
    <w:rPr>
      <w:kern w:val="0"/>
      <w:sz w:val="24"/>
      <w:lang w:val="en-US" w:eastAsia="zh-CN"/>
    </w:rPr>
  </w:style>
  <w:style w:type="paragraph" w:customStyle="1" w:styleId="30">
    <w:name w:val="正文文字 8"/>
    <w:basedOn w:val="1"/>
    <w:next w:val="1"/>
    <w:qFormat/>
    <w:uiPriority w:val="0"/>
    <w:pPr>
      <w:ind w:left="240"/>
    </w:pPr>
    <w:rPr>
      <w:sz w:val="16"/>
    </w:rPr>
  </w:style>
  <w:style w:type="paragraph" w:customStyle="1" w:styleId="31">
    <w:name w:val="Date"/>
    <w:basedOn w:val="1"/>
    <w:next w:val="1"/>
    <w:qFormat/>
    <w:uiPriority w:val="0"/>
    <w:pPr>
      <w:ind w:left="100" w:leftChars="2500"/>
    </w:pPr>
  </w:style>
  <w:style w:type="paragraph" w:customStyle="1" w:styleId="32">
    <w:name w:val="Body Text Indent"/>
    <w:basedOn w:val="1"/>
    <w:qFormat/>
    <w:uiPriority w:val="0"/>
    <w:pPr>
      <w:spacing w:line="480" w:lineRule="exact"/>
      <w:ind w:firstLine="480" w:firstLineChars="200"/>
    </w:pPr>
    <w:rPr>
      <w:rFonts w:ascii="宋体" w:hAnsi="宋体"/>
      <w:sz w:val="24"/>
    </w:rPr>
  </w:style>
  <w:style w:type="paragraph" w:customStyle="1" w:styleId="33">
    <w:name w:val="Plain Text"/>
    <w:basedOn w:val="1"/>
    <w:next w:val="1"/>
    <w:qFormat/>
    <w:uiPriority w:val="0"/>
    <w:rPr>
      <w:rFonts w:ascii="宋体" w:hAnsi="Courier New" w:cs="Arial"/>
      <w:snapToGrid w:val="0"/>
      <w:szCs w:val="21"/>
    </w:rPr>
  </w:style>
  <w:style w:type="paragraph" w:customStyle="1" w:styleId="34">
    <w:name w:val="envelope return"/>
    <w:basedOn w:val="1"/>
    <w:qFormat/>
    <w:uiPriority w:val="0"/>
    <w:pPr>
      <w:snapToGrid w:val="0"/>
    </w:pPr>
    <w:rPr>
      <w:rFonts w:ascii="Arial" w:hAnsi="Arial"/>
    </w:rPr>
  </w:style>
  <w:style w:type="paragraph" w:customStyle="1" w:styleId="35">
    <w:name w:val="List"/>
    <w:basedOn w:val="1"/>
    <w:qFormat/>
    <w:uiPriority w:val="0"/>
    <w:pPr>
      <w:spacing w:line="360" w:lineRule="auto"/>
    </w:pPr>
    <w:rPr>
      <w:rFonts w:ascii="Times New Roman" w:hAnsi="Times New Roman" w:eastAsia="仿宋_GB2312" w:cs="Times New Roman"/>
      <w:sz w:val="24"/>
    </w:rPr>
  </w:style>
  <w:style w:type="paragraph" w:customStyle="1" w:styleId="36">
    <w:name w:val="Body Text First Indent 2"/>
    <w:basedOn w:val="32"/>
    <w:next w:val="1"/>
    <w:qFormat/>
    <w:uiPriority w:val="0"/>
    <w:pPr>
      <w:ind w:left="420" w:firstLine="420" w:firstLineChars="200"/>
    </w:pPr>
  </w:style>
  <w:style w:type="paragraph" w:customStyle="1" w:styleId="37">
    <w:name w:val="List Paragraph"/>
    <w:basedOn w:val="1"/>
    <w:qFormat/>
    <w:uiPriority w:val="0"/>
  </w:style>
  <w:style w:type="paragraph" w:customStyle="1" w:styleId="38">
    <w:name w:val="Table Paragraph"/>
    <w:basedOn w:val="1"/>
    <w:qFormat/>
    <w:uiPriority w:val="0"/>
  </w:style>
  <w:style w:type="paragraph" w:customStyle="1" w:styleId="39">
    <w:name w:val="xl31"/>
    <w:basedOn w:val="1"/>
    <w:qFormat/>
    <w:uiPriority w:val="0"/>
    <w:pPr>
      <w:widowControl/>
      <w:spacing w:before="100" w:beforeAutospacing="1" w:after="100" w:afterAutospacing="1"/>
      <w:jc w:val="center"/>
    </w:pPr>
    <w:rPr>
      <w:b/>
      <w:bCs/>
      <w:kern w:val="0"/>
      <w:sz w:val="28"/>
      <w:szCs w:val="28"/>
    </w:rPr>
  </w:style>
  <w:style w:type="paragraph" w:customStyle="1" w:styleId="40">
    <w:name w:val="trs_editor"/>
    <w:basedOn w:val="1"/>
    <w:qFormat/>
    <w:uiPriority w:val="0"/>
    <w:pPr>
      <w:widowControl/>
      <w:adjustRightInd/>
      <w:spacing w:before="0" w:beforeAutospacing="1" w:after="0" w:afterAutospacing="1"/>
      <w:jc w:val="left"/>
    </w:pPr>
    <w:rPr>
      <w:rFonts w:hint="eastAsia" w:ascii="宋体" w:hAnsi="宋体" w:eastAsia="宋体" w:cs="宋体"/>
      <w:kern w:val="0"/>
      <w:sz w:val="24"/>
      <w:szCs w:val="24"/>
      <w:lang w:val="en-US" w:eastAsia="zh-CN"/>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Char Char Char Char Char Char Char1 Char_1"/>
    <w:basedOn w:val="44"/>
    <w:qFormat/>
    <w:uiPriority w:val="0"/>
    <w:rPr>
      <w:rFonts w:ascii="Tahoma" w:hAnsi="Tahoma"/>
      <w:sz w:val="24"/>
    </w:rPr>
  </w:style>
  <w:style w:type="paragraph" w:customStyle="1" w:styleId="4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缩进1"/>
    <w:basedOn w:val="1"/>
    <w:next w:val="32"/>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46">
    <w:name w:val="索引 11"/>
    <w:basedOn w:val="1"/>
    <w:next w:val="1"/>
    <w:qFormat/>
    <w:uiPriority w:val="0"/>
    <w:pPr>
      <w:adjustRightInd/>
      <w:spacing w:line="360" w:lineRule="auto"/>
    </w:pPr>
    <w:rPr>
      <w:rFonts w:ascii="仿宋_GB2312" w:eastAsia="仿宋_GB2312"/>
      <w:sz w:val="24"/>
      <w:szCs w:val="20"/>
    </w:rPr>
  </w:style>
  <w:style w:type="paragraph" w:customStyle="1" w:styleId="47">
    <w:name w:val="text-ta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8">
    <w:name w:val="纯文本1"/>
    <w:basedOn w:val="1"/>
    <w:qFormat/>
    <w:uiPriority w:val="0"/>
    <w:pPr>
      <w:adjustRightInd/>
    </w:pPr>
    <w:rPr>
      <w:rFonts w:ascii="宋体" w:hAnsi="Courier New"/>
      <w:kern w:val="0"/>
      <w:sz w:val="20"/>
      <w:szCs w:val="20"/>
    </w:rPr>
  </w:style>
  <w:style w:type="paragraph" w:customStyle="1" w:styleId="49">
    <w:name w:val="Normal Indent"/>
    <w:basedOn w:val="1"/>
    <w:qFormat/>
    <w:uiPriority w:val="0"/>
    <w:pPr>
      <w:widowControl/>
      <w:snapToGrid w:val="0"/>
      <w:spacing w:line="480" w:lineRule="exact"/>
      <w:ind w:firstLine="567"/>
    </w:pPr>
    <w:rPr>
      <w:rFonts w:ascii="宋体" w:eastAsia="宋体"/>
      <w:snapToGrid w:val="0"/>
      <w:color w:val="000000"/>
      <w:kern w:val="28"/>
      <w:sz w:val="28"/>
      <w:lang w:val="en-US" w:eastAsia="zh-CN" w:bidi="ar-SA"/>
    </w:rPr>
  </w:style>
  <w:style w:type="paragraph" w:customStyle="1" w:styleId="50">
    <w:name w:val="text-tag1"/>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customStyle="1" w:styleId="51">
    <w:name w:val="正文2"/>
    <w:basedOn w:val="1"/>
    <w:qFormat/>
    <w:uiPriority w:val="0"/>
    <w:pPr>
      <w:spacing w:before="156" w:line="360" w:lineRule="auto"/>
      <w:ind w:firstLine="510" w:firstLineChars="200"/>
    </w:pPr>
    <w:rPr>
      <w:rFonts w:eastAsia="宋体"/>
      <w:kern w:val="2"/>
      <w:sz w:val="24"/>
      <w:lang w:val="en-US" w:eastAsia="zh-CN" w:bidi="ar-SA"/>
    </w:rPr>
  </w:style>
  <w:style w:type="paragraph" w:customStyle="1" w:styleId="52">
    <w:name w:val="_Style 45"/>
    <w:basedOn w:val="1"/>
    <w:next w:val="1"/>
    <w:qFormat/>
    <w:uiPriority w:val="0"/>
    <w:pPr>
      <w:pBdr>
        <w:bottom w:val="single" w:color="auto" w:sz="6" w:space="1"/>
      </w:pBdr>
      <w:jc w:val="center"/>
    </w:pPr>
    <w:rPr>
      <w:rFonts w:ascii="Arial" w:eastAsia="宋体"/>
      <w:vanish/>
      <w:sz w:val="16"/>
    </w:rPr>
  </w:style>
  <w:style w:type="paragraph" w:customStyle="1" w:styleId="53">
    <w:name w:val="_Style 46"/>
    <w:basedOn w:val="1"/>
    <w:next w:val="1"/>
    <w:qFormat/>
    <w:uiPriority w:val="0"/>
    <w:pPr>
      <w:pBdr>
        <w:top w:val="single" w:color="auto" w:sz="6" w:space="1"/>
      </w:pBdr>
      <w:jc w:val="center"/>
    </w:pPr>
    <w:rPr>
      <w:rFonts w:ascii="Arial" w:eastAsia="宋体"/>
      <w:vanish/>
      <w:sz w:val="16"/>
    </w:rPr>
  </w:style>
  <w:style w:type="paragraph" w:customStyle="1" w:styleId="54">
    <w:name w:val="GW-正文"/>
    <w:basedOn w:val="1"/>
    <w:qFormat/>
    <w:uiPriority w:val="0"/>
    <w:pPr>
      <w:spacing w:line="360" w:lineRule="auto"/>
      <w:ind w:firstLine="200" w:firstLineChars="200"/>
      <w:contextualSpacing/>
    </w:pPr>
    <w:rPr>
      <w:rFonts w:eastAsia="Times New Roman"/>
    </w:rPr>
  </w:style>
  <w:style w:type="paragraph" w:customStyle="1" w:styleId="55">
    <w:name w:val="02标题二"/>
    <w:basedOn w:val="1"/>
    <w:qFormat/>
    <w:uiPriority w:val="0"/>
    <w:pPr>
      <w:adjustRightInd/>
      <w:ind w:firstLine="562" w:firstLineChars="200"/>
      <w:jc w:val="both"/>
    </w:pPr>
    <w:rPr>
      <w:rFonts w:cs="华文仿宋"/>
      <w:b/>
      <w:bCs/>
      <w:sz w:val="28"/>
      <w:szCs w:val="28"/>
    </w:rPr>
  </w:style>
  <w:style w:type="paragraph" w:customStyle="1" w:styleId="56">
    <w:name w:val="表格文字"/>
    <w:basedOn w:val="1"/>
    <w:next w:val="2"/>
    <w:qFormat/>
    <w:uiPriority w:val="0"/>
    <w:pPr>
      <w:jc w:val="center"/>
    </w:pPr>
    <w:rPr>
      <w:sz w:val="24"/>
      <w:szCs w:val="20"/>
    </w:rPr>
  </w:style>
  <w:style w:type="paragraph" w:customStyle="1" w:styleId="57">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58">
    <w:name w:val="标题 2_0"/>
    <w:basedOn w:val="42"/>
    <w:next w:val="59"/>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page number"/>
    <w:basedOn w:val="22"/>
    <w:qFormat/>
    <w:uiPriority w:val="0"/>
    <w:rPr>
      <w:rFonts w:ascii="Arial" w:hAnsi="Arial" w:eastAsia="黑体" w:cs="Arial"/>
      <w:snapToGrid w:val="0"/>
      <w:kern w:val="0"/>
      <w:szCs w:val="21"/>
    </w:rPr>
  </w:style>
  <w:style w:type="character" w:customStyle="1" w:styleId="61">
    <w:name w:val="spancontent1"/>
    <w:basedOn w:val="22"/>
    <w:qFormat/>
    <w:uiPriority w:val="0"/>
    <w:rPr>
      <w:sz w:val="18"/>
      <w:szCs w:val="18"/>
    </w:rPr>
  </w:style>
  <w:style w:type="character" w:customStyle="1" w:styleId="62">
    <w:name w:val="NormalCharacter"/>
    <w:qFormat/>
    <w:uiPriority w:val="0"/>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index 1"/>
    <w:basedOn w:val="1"/>
    <w:next w:val="1"/>
    <w:qFormat/>
    <w:uiPriority w:val="0"/>
    <w:pPr>
      <w:jc w:val="center"/>
    </w:pPr>
    <w:rPr>
      <w:rFonts w:ascii="Arial" w:hAnsi="Arial" w:eastAsia="Arial" w:cs="Arial"/>
      <w:b/>
      <w:bCs/>
      <w:sz w:val="28"/>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Char Char Char Char Char Char Char1 Char"/>
    <w:basedOn w:val="1"/>
    <w:qFormat/>
    <w:uiPriority w:val="0"/>
    <w:rPr>
      <w:rFonts w:ascii="Arial" w:hAnsi="Arial" w:eastAsia="宋体" w:cs="Arial"/>
      <w:sz w:val="24"/>
    </w:rPr>
  </w:style>
  <w:style w:type="paragraph" w:customStyle="1" w:styleId="68">
    <w:name w:val="Table Text"/>
    <w:basedOn w:val="1"/>
    <w:semiHidden/>
    <w:qFormat/>
    <w:uiPriority w:val="0"/>
    <w:rPr>
      <w:rFonts w:ascii="Arial" w:hAnsi="Arial" w:eastAsia="Arial" w:cs="Arial"/>
      <w:sz w:val="21"/>
      <w:szCs w:val="21"/>
      <w:lang w:val="en-US" w:eastAsia="en-US" w:bidi="ar-SA"/>
    </w:rPr>
  </w:style>
  <w:style w:type="paragraph" w:customStyle="1" w:styleId="69">
    <w:name w:val="Body Text First Indent 21"/>
    <w:basedOn w:val="70"/>
    <w:qFormat/>
    <w:uiPriority w:val="0"/>
    <w:pPr>
      <w:ind w:left="420" w:firstLine="420" w:firstLineChars="200"/>
    </w:pPr>
  </w:style>
  <w:style w:type="paragraph" w:customStyle="1" w:styleId="70">
    <w:name w:val="Body Text Indent1"/>
    <w:basedOn w:val="1"/>
    <w:next w:val="71"/>
    <w:qFormat/>
    <w:uiPriority w:val="0"/>
    <w:pPr>
      <w:ind w:firstLine="630"/>
    </w:pPr>
    <w:rPr>
      <w:sz w:val="32"/>
      <w:szCs w:val="20"/>
    </w:rPr>
  </w:style>
  <w:style w:type="paragraph" w:customStyle="1" w:styleId="71">
    <w:name w:val="envelope return1"/>
    <w:basedOn w:val="1"/>
    <w:qFormat/>
    <w:uiPriority w:val="0"/>
    <w:pPr>
      <w:snapToGrid w:val="0"/>
    </w:pPr>
    <w:rPr>
      <w:rFonts w:ascii="Arial" w:hAnsi="Arial"/>
    </w:rPr>
  </w:style>
  <w:style w:type="paragraph" w:customStyle="1" w:styleId="72">
    <w:name w:val="普通(网站)1"/>
    <w:basedOn w:val="1"/>
    <w:autoRedefine/>
    <w:qFormat/>
    <w:uiPriority w:val="0"/>
    <w:pPr>
      <w:spacing w:beforeAutospacing="1" w:afterAutospacing="1"/>
      <w:jc w:val="left"/>
    </w:pPr>
    <w:rPr>
      <w:rFonts w:ascii="Calibri" w:hAnsi="Calibri" w:cs="黑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84</Pages>
  <Words>1009</Words>
  <Characters>1120</Characters>
  <Lines>0</Lines>
  <Paragraphs>0</Paragraphs>
  <TotalTime>55</TotalTime>
  <ScaleCrop>false</ScaleCrop>
  <LinksUpToDate>false</LinksUpToDate>
  <CharactersWithSpaces>1143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2023-10-02T15:51:00Z</dcterms:created>
  <dc:creator>尹皓</dc:creator>
  <cp:lastModifiedBy>M.劳德鲁普</cp:lastModifiedBy>
  <cp:lastPrinted>2024-01-24T23:12:00Z</cp:lastPrinted>
  <dcterms:modified xsi:type="dcterms:W3CDTF">2026-05-06T08:21:02Z</dcterms:modified>
  <dc:title>ZJ</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2023-09-24T00:00:00Z</vt:filetime>
  </property>
  <property fmtid="{D5CDD505-2E9C-101B-9397-08002B2CF9AE}" pid="4" name="KSOProductBuildVer">
    <vt:lpwstr>2052-12.1.0.25225</vt:lpwstr>
  </property>
  <property fmtid="{D5CDD505-2E9C-101B-9397-08002B2CF9AE}" pid="5" name="ICV">
    <vt:lpwstr>F051AAFED1B9484CBC4FDBCA9C9E584E_13</vt:lpwstr>
  </property>
  <property fmtid="{D5CDD505-2E9C-101B-9397-08002B2CF9AE}" pid="6" name="KSOTemplateDocerSaveRecord">
    <vt:lpwstr>eyJoZGlkIjoiMDdlNzA3ZDFkOWU5N2Q3MzlhMDZjYjNiOWQ5NjE0ZGYiLCJ1c2VySWQiOiIxNTU0NzMwNTI5In0=</vt:lpwstr>
  </property>
</Properties>
</file>